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1392" w14:textId="69B8D7C3" w:rsidR="005B15A8" w:rsidRDefault="005B15A8"/>
    <w:p w14:paraId="04900C4A" w14:textId="5CE706A3" w:rsidR="006F108A" w:rsidRDefault="006F108A" w:rsidP="006F108A">
      <w:pPr>
        <w:pStyle w:val="Title"/>
      </w:pPr>
      <w:r>
        <w:t>Progress Reviews</w:t>
      </w:r>
    </w:p>
    <w:p w14:paraId="25F67308" w14:textId="44968B5A" w:rsidR="006F108A" w:rsidRPr="006E5B17" w:rsidRDefault="006E5B17" w:rsidP="006F108A">
      <w:pPr>
        <w:rPr>
          <w:i/>
          <w:iCs/>
        </w:rPr>
      </w:pPr>
      <w:r>
        <w:rPr>
          <w:i/>
          <w:iCs/>
        </w:rPr>
        <w:t>The project management of a learner's journey.</w:t>
      </w:r>
    </w:p>
    <w:p w14:paraId="2D4B99E5" w14:textId="77777777" w:rsidR="006E5B17" w:rsidRPr="006F108A" w:rsidRDefault="006E5B17" w:rsidP="006F108A"/>
    <w:p w14:paraId="6BD9B7B2" w14:textId="39FC084A" w:rsidR="00DD2678" w:rsidRPr="00FE4995" w:rsidRDefault="00684B57">
      <w:pPr>
        <w:rPr>
          <w:color w:val="FF0000"/>
        </w:rPr>
      </w:pPr>
      <w:r w:rsidRPr="00FE4995">
        <w:rPr>
          <w:color w:val="FF0000"/>
        </w:rPr>
        <w:t xml:space="preserve">Version </w:t>
      </w:r>
      <w:r w:rsidR="00BC0B5E" w:rsidRPr="00FE4995">
        <w:rPr>
          <w:color w:val="FF0000"/>
        </w:rPr>
        <w:t>0</w:t>
      </w:r>
      <w:r w:rsidR="00496D2A">
        <w:rPr>
          <w:color w:val="FF0000"/>
        </w:rPr>
        <w:t>6</w:t>
      </w:r>
      <w:r w:rsidR="00BC0B5E" w:rsidRPr="00FE4995">
        <w:rPr>
          <w:color w:val="FF0000"/>
        </w:rPr>
        <w:t xml:space="preserve"> </w:t>
      </w:r>
      <w:r w:rsidR="00496D2A">
        <w:rPr>
          <w:color w:val="FF0000"/>
        </w:rPr>
        <w:t>1</w:t>
      </w:r>
      <w:r w:rsidR="00BC0B5E" w:rsidRPr="00FE4995">
        <w:rPr>
          <w:color w:val="FF0000"/>
        </w:rPr>
        <w:t>/0</w:t>
      </w:r>
      <w:r w:rsidR="00496D2A">
        <w:rPr>
          <w:color w:val="FF0000"/>
        </w:rPr>
        <w:t>4</w:t>
      </w:r>
      <w:r w:rsidR="00BC0B5E" w:rsidRPr="00FE4995">
        <w:rPr>
          <w:color w:val="FF0000"/>
        </w:rPr>
        <w:t>/22</w:t>
      </w:r>
    </w:p>
    <w:p w14:paraId="124D499F" w14:textId="3325FC21" w:rsidR="00DD2678" w:rsidRDefault="008E79FC">
      <w:pPr>
        <w:spacing w:before="0" w:after="0"/>
      </w:pPr>
      <w:r w:rsidRPr="008E79FC">
        <w:drawing>
          <wp:anchor distT="0" distB="0" distL="114300" distR="114300" simplePos="0" relativeHeight="251658240" behindDoc="0" locked="0" layoutInCell="1" allowOverlap="1" wp14:anchorId="534654AE" wp14:editId="1848F763">
            <wp:simplePos x="0" y="0"/>
            <wp:positionH relativeFrom="column">
              <wp:posOffset>-519764</wp:posOffset>
            </wp:positionH>
            <wp:positionV relativeFrom="paragraph">
              <wp:posOffset>367698</wp:posOffset>
            </wp:positionV>
            <wp:extent cx="9919960" cy="2541070"/>
            <wp:effectExtent l="0" t="0" r="571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927851" cy="2543091"/>
                    </a:xfrm>
                    <a:prstGeom prst="rect">
                      <a:avLst/>
                    </a:prstGeom>
                  </pic:spPr>
                </pic:pic>
              </a:graphicData>
            </a:graphic>
            <wp14:sizeRelH relativeFrom="margin">
              <wp14:pctWidth>0</wp14:pctWidth>
            </wp14:sizeRelH>
            <wp14:sizeRelV relativeFrom="margin">
              <wp14:pctHeight>0</wp14:pctHeight>
            </wp14:sizeRelV>
          </wp:anchor>
        </w:drawing>
      </w:r>
      <w:r w:rsidR="009C1BB1" w:rsidRPr="009C1BB1">
        <w:t xml:space="preserve"> </w:t>
      </w:r>
      <w:r w:rsidR="00DD2678">
        <w:br w:type="page"/>
      </w:r>
    </w:p>
    <w:tbl>
      <w:tblPr>
        <w:tblStyle w:val="TableGrid"/>
        <w:tblW w:w="14743" w:type="dxa"/>
        <w:tblInd w:w="-426" w:type="dxa"/>
        <w:tblLook w:val="04A0" w:firstRow="1" w:lastRow="0" w:firstColumn="1" w:lastColumn="0" w:noHBand="0" w:noVBand="1"/>
      </w:tblPr>
      <w:tblGrid>
        <w:gridCol w:w="321"/>
        <w:gridCol w:w="1338"/>
        <w:gridCol w:w="3246"/>
        <w:gridCol w:w="2142"/>
        <w:gridCol w:w="7696"/>
      </w:tblGrid>
      <w:tr w:rsidR="00F34708" w14:paraId="3DE1416C" w14:textId="77777777" w:rsidTr="00EA3177">
        <w:trPr>
          <w:trHeight w:val="465"/>
        </w:trPr>
        <w:tc>
          <w:tcPr>
            <w:tcW w:w="321" w:type="dxa"/>
            <w:tcBorders>
              <w:top w:val="nil"/>
              <w:left w:val="nil"/>
            </w:tcBorders>
            <w:shd w:val="clear" w:color="auto" w:fill="FFFFFF" w:themeFill="background1"/>
            <w:vAlign w:val="center"/>
          </w:tcPr>
          <w:p w14:paraId="29D6C878" w14:textId="27EA8AC0" w:rsidR="00F34708" w:rsidRPr="009E1A36" w:rsidRDefault="00F34708" w:rsidP="00445892">
            <w:pPr>
              <w:rPr>
                <w:b/>
                <w:color w:val="FFFFFF" w:themeColor="background1"/>
              </w:rPr>
            </w:pPr>
          </w:p>
        </w:tc>
        <w:tc>
          <w:tcPr>
            <w:tcW w:w="1338" w:type="dxa"/>
            <w:shd w:val="clear" w:color="auto" w:fill="C6D9F1" w:themeFill="text2" w:themeFillTint="33"/>
            <w:vAlign w:val="center"/>
          </w:tcPr>
          <w:p w14:paraId="2FD563CF" w14:textId="77777777" w:rsidR="00F34708" w:rsidRPr="00093A41" w:rsidRDefault="00F34708" w:rsidP="00093A41">
            <w:pPr>
              <w:jc w:val="center"/>
              <w:rPr>
                <w:rFonts w:ascii="Arial" w:hAnsi="Arial" w:cs="Arial"/>
                <w:b/>
                <w:color w:val="0070C0"/>
                <w:sz w:val="24"/>
                <w:szCs w:val="32"/>
              </w:rPr>
            </w:pPr>
            <w:r w:rsidRPr="00093A41">
              <w:rPr>
                <w:rFonts w:ascii="Arial" w:hAnsi="Arial" w:cs="Arial"/>
                <w:b/>
                <w:color w:val="0070C0"/>
                <w:sz w:val="24"/>
                <w:szCs w:val="32"/>
              </w:rPr>
              <w:t>Area</w:t>
            </w:r>
          </w:p>
        </w:tc>
        <w:tc>
          <w:tcPr>
            <w:tcW w:w="5388" w:type="dxa"/>
            <w:gridSpan w:val="2"/>
            <w:tcBorders>
              <w:right w:val="single" w:sz="4" w:space="0" w:color="auto"/>
            </w:tcBorders>
            <w:shd w:val="clear" w:color="auto" w:fill="FBD4B4" w:themeFill="accent6" w:themeFillTint="66"/>
            <w:vAlign w:val="center"/>
          </w:tcPr>
          <w:p w14:paraId="2862C93A" w14:textId="0C060B56" w:rsidR="00F34708" w:rsidRPr="00093A41" w:rsidRDefault="004F1927" w:rsidP="00093A41">
            <w:pPr>
              <w:pStyle w:val="Heading1"/>
              <w:spacing w:before="0" w:after="0"/>
              <w:rPr>
                <w:rFonts w:ascii="Arial" w:eastAsia="Times New Roman" w:hAnsi="Arial" w:cs="Arial"/>
                <w:b/>
                <w:bCs w:val="0"/>
                <w:kern w:val="0"/>
                <w:sz w:val="24"/>
              </w:rPr>
            </w:pPr>
            <w:r>
              <w:rPr>
                <w:rFonts w:ascii="Arial" w:eastAsia="Times New Roman" w:hAnsi="Arial" w:cs="Arial"/>
                <w:b/>
                <w:bCs w:val="0"/>
                <w:kern w:val="0"/>
                <w:sz w:val="24"/>
              </w:rPr>
              <w:t>5 Progress Reviews</w:t>
            </w:r>
          </w:p>
        </w:tc>
        <w:tc>
          <w:tcPr>
            <w:tcW w:w="7696" w:type="dxa"/>
            <w:tcBorders>
              <w:top w:val="nil"/>
              <w:left w:val="single" w:sz="4" w:space="0" w:color="auto"/>
              <w:bottom w:val="single" w:sz="4" w:space="0" w:color="auto"/>
              <w:right w:val="nil"/>
            </w:tcBorders>
            <w:shd w:val="clear" w:color="auto" w:fill="FFFFFF" w:themeFill="background1"/>
            <w:vAlign w:val="center"/>
          </w:tcPr>
          <w:p w14:paraId="70CE856B" w14:textId="77777777" w:rsidR="00F34708" w:rsidRPr="001E4AB8" w:rsidRDefault="00F34708" w:rsidP="00445892">
            <w:pPr>
              <w:rPr>
                <w:rFonts w:ascii="Arial" w:hAnsi="Arial" w:cs="Arial"/>
                <w:b/>
                <w:color w:val="E36C0A" w:themeColor="accent6" w:themeShade="BF"/>
              </w:rPr>
            </w:pPr>
          </w:p>
        </w:tc>
      </w:tr>
      <w:tr w:rsidR="00093A41" w14:paraId="32E1FF1D" w14:textId="77777777" w:rsidTr="00EA3177">
        <w:trPr>
          <w:trHeight w:val="465"/>
        </w:trPr>
        <w:tc>
          <w:tcPr>
            <w:tcW w:w="1659" w:type="dxa"/>
            <w:gridSpan w:val="2"/>
            <w:shd w:val="clear" w:color="auto" w:fill="0070C0"/>
            <w:vAlign w:val="center"/>
          </w:tcPr>
          <w:p w14:paraId="0597A747" w14:textId="77777777" w:rsidR="00093A41" w:rsidRPr="001E4AB8" w:rsidRDefault="00093A41" w:rsidP="00445892">
            <w:pPr>
              <w:rPr>
                <w:rFonts w:ascii="Arial" w:hAnsi="Arial" w:cs="Arial"/>
                <w:b/>
                <w:color w:val="FFFFFF" w:themeColor="background1"/>
              </w:rPr>
            </w:pPr>
            <w:r>
              <w:rPr>
                <w:rFonts w:ascii="Arial" w:hAnsi="Arial" w:cs="Arial"/>
                <w:b/>
                <w:color w:val="FFFFFF" w:themeColor="background1"/>
              </w:rPr>
              <w:t>Aspect</w:t>
            </w:r>
          </w:p>
        </w:tc>
        <w:tc>
          <w:tcPr>
            <w:tcW w:w="3246" w:type="dxa"/>
            <w:shd w:val="clear" w:color="auto" w:fill="0070C0"/>
            <w:vAlign w:val="center"/>
          </w:tcPr>
          <w:p w14:paraId="5B15970B" w14:textId="77777777" w:rsidR="00093A41" w:rsidRPr="001E4AB8" w:rsidRDefault="00093A41" w:rsidP="00445892">
            <w:pPr>
              <w:rPr>
                <w:rFonts w:ascii="Arial" w:hAnsi="Arial" w:cs="Arial"/>
                <w:b/>
                <w:color w:val="FFFFFF" w:themeColor="background1"/>
              </w:rPr>
            </w:pPr>
            <w:r w:rsidRPr="001E4AB8">
              <w:rPr>
                <w:rFonts w:ascii="Arial" w:hAnsi="Arial" w:cs="Arial"/>
                <w:b/>
                <w:color w:val="FFFFFF" w:themeColor="background1"/>
              </w:rPr>
              <w:t>Elements</w:t>
            </w:r>
          </w:p>
        </w:tc>
        <w:tc>
          <w:tcPr>
            <w:tcW w:w="9838" w:type="dxa"/>
            <w:gridSpan w:val="2"/>
            <w:tcBorders>
              <w:top w:val="single" w:sz="4" w:space="0" w:color="auto"/>
            </w:tcBorders>
            <w:shd w:val="clear" w:color="auto" w:fill="0070C0"/>
            <w:vAlign w:val="center"/>
          </w:tcPr>
          <w:p w14:paraId="66505537" w14:textId="77777777" w:rsidR="00093A41" w:rsidRPr="001E4AB8" w:rsidRDefault="00093A41" w:rsidP="00445892">
            <w:pPr>
              <w:rPr>
                <w:rFonts w:ascii="Arial" w:hAnsi="Arial" w:cs="Arial"/>
                <w:b/>
                <w:color w:val="FFFFFF" w:themeColor="background1"/>
              </w:rPr>
            </w:pPr>
            <w:r w:rsidRPr="001E4AB8">
              <w:rPr>
                <w:rFonts w:ascii="Arial" w:hAnsi="Arial" w:cs="Arial"/>
                <w:b/>
                <w:color w:val="FFFFFF" w:themeColor="background1"/>
              </w:rPr>
              <w:t xml:space="preserve">Gold Standard </w:t>
            </w:r>
            <w:r w:rsidRPr="001E4AB8">
              <w:rPr>
                <w:rFonts w:ascii="Arial" w:hAnsi="Arial" w:cs="Arial"/>
                <w:b/>
                <w:color w:val="FBD4B4" w:themeColor="accent6" w:themeTint="66"/>
              </w:rPr>
              <w:t>intended impact</w:t>
            </w:r>
            <w:r w:rsidRPr="001E4AB8">
              <w:rPr>
                <w:rFonts w:ascii="Arial" w:hAnsi="Arial" w:cs="Arial"/>
                <w:b/>
                <w:color w:val="FFFFFF" w:themeColor="background1"/>
              </w:rPr>
              <w:t xml:space="preserve">: </w:t>
            </w:r>
          </w:p>
        </w:tc>
      </w:tr>
      <w:tr w:rsidR="00D20BDD" w14:paraId="24D1D678" w14:textId="77777777" w:rsidTr="00EA3177">
        <w:trPr>
          <w:trHeight w:val="326"/>
        </w:trPr>
        <w:tc>
          <w:tcPr>
            <w:tcW w:w="1659" w:type="dxa"/>
            <w:gridSpan w:val="2"/>
            <w:vMerge w:val="restart"/>
            <w:shd w:val="clear" w:color="auto" w:fill="DBE5F1" w:themeFill="accent1" w:themeFillTint="33"/>
          </w:tcPr>
          <w:p w14:paraId="033AD7E0" w14:textId="77777777" w:rsidR="006E5B17" w:rsidRDefault="006E5B17" w:rsidP="005A7D3D">
            <w:r>
              <w:t>5.1</w:t>
            </w:r>
          </w:p>
          <w:p w14:paraId="473364B5" w14:textId="359DD681" w:rsidR="00D20BDD" w:rsidRDefault="004F1927" w:rsidP="005A7D3D">
            <w:r>
              <w:t>Preparation for review</w:t>
            </w:r>
          </w:p>
        </w:tc>
        <w:tc>
          <w:tcPr>
            <w:tcW w:w="3246" w:type="dxa"/>
            <w:shd w:val="clear" w:color="auto" w:fill="F2F2F2" w:themeFill="background1" w:themeFillShade="F2"/>
          </w:tcPr>
          <w:p w14:paraId="19AB4A00" w14:textId="0FE3C388" w:rsidR="00D20BDD" w:rsidRDefault="006E5B17" w:rsidP="005A7D3D">
            <w:r>
              <w:t xml:space="preserve">5.1.1 </w:t>
            </w:r>
            <w:r w:rsidR="00AD54C4">
              <w:t xml:space="preserve">Transition </w:t>
            </w:r>
            <w:r w:rsidR="00610941">
              <w:t>d</w:t>
            </w:r>
            <w:r w:rsidR="00AD54C4">
              <w:t>ata</w:t>
            </w:r>
          </w:p>
        </w:tc>
        <w:tc>
          <w:tcPr>
            <w:tcW w:w="9838" w:type="dxa"/>
            <w:gridSpan w:val="2"/>
            <w:shd w:val="clear" w:color="auto" w:fill="F2F2F2" w:themeFill="background1" w:themeFillShade="F2"/>
          </w:tcPr>
          <w:p w14:paraId="5B429819" w14:textId="5F2F3798" w:rsidR="00D20BDD" w:rsidRPr="00561F72" w:rsidRDefault="00A74A39" w:rsidP="005A7D3D">
            <w:r>
              <w:t xml:space="preserve">Comprehensive data </w:t>
            </w:r>
            <w:r w:rsidR="00CC29EC">
              <w:t xml:space="preserve">from outside agencies and partners provide learners </w:t>
            </w:r>
            <w:r w:rsidR="00B01A50">
              <w:t xml:space="preserve">with insight into the support they may require to be successful at college.  </w:t>
            </w:r>
            <w:r w:rsidR="00CC29EC">
              <w:t xml:space="preserve"> </w:t>
            </w:r>
            <w:r>
              <w:t xml:space="preserve"> </w:t>
            </w:r>
          </w:p>
        </w:tc>
      </w:tr>
      <w:tr w:rsidR="00AD54C4" w14:paraId="1BFA8472" w14:textId="77777777" w:rsidTr="00EA3177">
        <w:trPr>
          <w:trHeight w:val="326"/>
        </w:trPr>
        <w:tc>
          <w:tcPr>
            <w:tcW w:w="1659" w:type="dxa"/>
            <w:gridSpan w:val="2"/>
            <w:vMerge/>
            <w:shd w:val="clear" w:color="auto" w:fill="DBE5F1" w:themeFill="accent1" w:themeFillTint="33"/>
          </w:tcPr>
          <w:p w14:paraId="57A84D55" w14:textId="77777777" w:rsidR="00AD54C4" w:rsidRDefault="00AD54C4" w:rsidP="00AD54C4"/>
        </w:tc>
        <w:tc>
          <w:tcPr>
            <w:tcW w:w="3246" w:type="dxa"/>
            <w:shd w:val="clear" w:color="auto" w:fill="F2F2F2" w:themeFill="background1" w:themeFillShade="F2"/>
          </w:tcPr>
          <w:p w14:paraId="6EAB9D5A" w14:textId="5BFF8CEA" w:rsidR="00AD54C4" w:rsidRDefault="00AD54C4" w:rsidP="00AD54C4">
            <w:r>
              <w:t>5.1.2 Self reflection</w:t>
            </w:r>
          </w:p>
        </w:tc>
        <w:tc>
          <w:tcPr>
            <w:tcW w:w="9838" w:type="dxa"/>
            <w:gridSpan w:val="2"/>
            <w:shd w:val="clear" w:color="auto" w:fill="F2F2F2" w:themeFill="background1" w:themeFillShade="F2"/>
          </w:tcPr>
          <w:p w14:paraId="48C07FFA" w14:textId="374EB44F" w:rsidR="00AD54C4" w:rsidRDefault="00AD54C4" w:rsidP="00AD54C4">
            <w:r>
              <w:t xml:space="preserve">By preparing effectively for their reviews, learners lead on discussions about their progress and attainment and feel inspired and in control of their learning journey. </w:t>
            </w:r>
            <w:r w:rsidR="009D355F">
              <w:t xml:space="preserve"> </w:t>
            </w:r>
          </w:p>
        </w:tc>
      </w:tr>
      <w:tr w:rsidR="00AD54C4" w14:paraId="1D937B90" w14:textId="77777777" w:rsidTr="00EA3177">
        <w:trPr>
          <w:trHeight w:val="326"/>
        </w:trPr>
        <w:tc>
          <w:tcPr>
            <w:tcW w:w="1659" w:type="dxa"/>
            <w:gridSpan w:val="2"/>
            <w:vMerge/>
            <w:shd w:val="clear" w:color="auto" w:fill="DBE5F1" w:themeFill="accent1" w:themeFillTint="33"/>
          </w:tcPr>
          <w:p w14:paraId="2304D71A" w14:textId="2541931C" w:rsidR="00AD54C4" w:rsidRPr="003653BC" w:rsidRDefault="00AD54C4" w:rsidP="00AD54C4"/>
        </w:tc>
        <w:tc>
          <w:tcPr>
            <w:tcW w:w="3246" w:type="dxa"/>
            <w:shd w:val="clear" w:color="auto" w:fill="F2F2F2" w:themeFill="background1" w:themeFillShade="F2"/>
          </w:tcPr>
          <w:p w14:paraId="611B78BB" w14:textId="74BC48B2" w:rsidR="00AD54C4" w:rsidRPr="009060E7" w:rsidRDefault="00AD54C4" w:rsidP="00AD54C4">
            <w:r>
              <w:t>5.1.3 Previous barriers</w:t>
            </w:r>
          </w:p>
        </w:tc>
        <w:tc>
          <w:tcPr>
            <w:tcW w:w="9838" w:type="dxa"/>
            <w:gridSpan w:val="2"/>
            <w:shd w:val="clear" w:color="auto" w:fill="F2F2F2" w:themeFill="background1" w:themeFillShade="F2"/>
          </w:tcPr>
          <w:p w14:paraId="75F39B23" w14:textId="32E2A1BD" w:rsidR="00AD54C4" w:rsidRPr="004906C1" w:rsidRDefault="00AD54C4" w:rsidP="00AD54C4">
            <w:r>
              <w:t xml:space="preserve">Learners critically reflect on any barriers they have encountered and the effectiveness of their mitigation strategies. </w:t>
            </w:r>
          </w:p>
        </w:tc>
      </w:tr>
      <w:tr w:rsidR="00AD54C4" w14:paraId="16F92DD9" w14:textId="77777777" w:rsidTr="00EA3177">
        <w:trPr>
          <w:trHeight w:val="326"/>
        </w:trPr>
        <w:tc>
          <w:tcPr>
            <w:tcW w:w="1659" w:type="dxa"/>
            <w:gridSpan w:val="2"/>
            <w:vMerge/>
            <w:shd w:val="clear" w:color="auto" w:fill="DBE5F1" w:themeFill="accent1" w:themeFillTint="33"/>
          </w:tcPr>
          <w:p w14:paraId="4688EA3A" w14:textId="77777777" w:rsidR="00AD54C4" w:rsidRDefault="00AD54C4" w:rsidP="00AD54C4"/>
        </w:tc>
        <w:tc>
          <w:tcPr>
            <w:tcW w:w="3246" w:type="dxa"/>
            <w:shd w:val="clear" w:color="auto" w:fill="F2F2F2" w:themeFill="background1" w:themeFillShade="F2"/>
          </w:tcPr>
          <w:p w14:paraId="0D8E8977" w14:textId="3C80E161" w:rsidR="00AD54C4" w:rsidRDefault="00AD54C4" w:rsidP="00AD54C4">
            <w:r>
              <w:t>5.1.4 Potential barriers</w:t>
            </w:r>
          </w:p>
        </w:tc>
        <w:tc>
          <w:tcPr>
            <w:tcW w:w="9838" w:type="dxa"/>
            <w:gridSpan w:val="2"/>
            <w:shd w:val="clear" w:color="auto" w:fill="F2F2F2" w:themeFill="background1" w:themeFillShade="F2"/>
          </w:tcPr>
          <w:p w14:paraId="303C5E44" w14:textId="5788A702" w:rsidR="00AD54C4" w:rsidRPr="004906C1" w:rsidRDefault="00AD54C4" w:rsidP="00AD54C4">
            <w:r>
              <w:t>Learners identify potential barriers ahead of the next review and set out mitigation strategies</w:t>
            </w:r>
            <w:r w:rsidR="00C62135">
              <w:t xml:space="preserve"> and access relevant support</w:t>
            </w:r>
            <w:r>
              <w:t xml:space="preserve">. </w:t>
            </w:r>
          </w:p>
        </w:tc>
      </w:tr>
      <w:tr w:rsidR="00AD54C4" w14:paraId="4F1CA73A" w14:textId="77777777" w:rsidTr="00EA3177">
        <w:trPr>
          <w:trHeight w:val="326"/>
        </w:trPr>
        <w:tc>
          <w:tcPr>
            <w:tcW w:w="1659" w:type="dxa"/>
            <w:gridSpan w:val="2"/>
            <w:vMerge/>
            <w:shd w:val="clear" w:color="auto" w:fill="DBE5F1" w:themeFill="accent1" w:themeFillTint="33"/>
          </w:tcPr>
          <w:p w14:paraId="6AF46C2D" w14:textId="77777777" w:rsidR="00AD54C4" w:rsidRDefault="00AD54C4" w:rsidP="00AD54C4"/>
        </w:tc>
        <w:tc>
          <w:tcPr>
            <w:tcW w:w="3246" w:type="dxa"/>
            <w:shd w:val="clear" w:color="auto" w:fill="F2F2F2" w:themeFill="background1" w:themeFillShade="F2"/>
          </w:tcPr>
          <w:p w14:paraId="3DE6EC50" w14:textId="0ADA32C0" w:rsidR="00AD54C4" w:rsidRDefault="00AD54C4" w:rsidP="00AD54C4">
            <w:r>
              <w:t>5.1.5 Workload management</w:t>
            </w:r>
          </w:p>
        </w:tc>
        <w:tc>
          <w:tcPr>
            <w:tcW w:w="9838" w:type="dxa"/>
            <w:gridSpan w:val="2"/>
            <w:shd w:val="clear" w:color="auto" w:fill="F2F2F2" w:themeFill="background1" w:themeFillShade="F2"/>
          </w:tcPr>
          <w:p w14:paraId="5F049D8A" w14:textId="6E8AFEF0" w:rsidR="00AD54C4" w:rsidRPr="004906C1" w:rsidRDefault="00AD54C4" w:rsidP="00AD54C4">
            <w:pPr>
              <w:rPr>
                <w:szCs w:val="20"/>
              </w:rPr>
            </w:pPr>
            <w:r>
              <w:rPr>
                <w:szCs w:val="20"/>
              </w:rPr>
              <w:t>L</w:t>
            </w:r>
            <w:r w:rsidRPr="004906C1">
              <w:rPr>
                <w:szCs w:val="20"/>
              </w:rPr>
              <w:t>earner</w:t>
            </w:r>
            <w:r>
              <w:rPr>
                <w:szCs w:val="20"/>
              </w:rPr>
              <w:t>s</w:t>
            </w:r>
            <w:r w:rsidRPr="004906C1">
              <w:rPr>
                <w:szCs w:val="20"/>
              </w:rPr>
              <w:t xml:space="preserve"> </w:t>
            </w:r>
            <w:r>
              <w:rPr>
                <w:szCs w:val="20"/>
              </w:rPr>
              <w:t xml:space="preserve">use their understanding of course expectations to </w:t>
            </w:r>
            <w:r w:rsidRPr="004906C1">
              <w:rPr>
                <w:szCs w:val="20"/>
              </w:rPr>
              <w:t>identif</w:t>
            </w:r>
            <w:r>
              <w:rPr>
                <w:szCs w:val="20"/>
              </w:rPr>
              <w:t>y</w:t>
            </w:r>
            <w:r w:rsidRPr="004906C1">
              <w:rPr>
                <w:szCs w:val="20"/>
              </w:rPr>
              <w:t xml:space="preserve"> what success for them will look like</w:t>
            </w:r>
            <w:r>
              <w:rPr>
                <w:szCs w:val="20"/>
              </w:rPr>
              <w:t xml:space="preserve">. In preparation for each review, learners evaluate the effectiveness of their workload management skills in achieving their vision. </w:t>
            </w:r>
          </w:p>
        </w:tc>
      </w:tr>
      <w:tr w:rsidR="00AD54C4" w14:paraId="1E38A045" w14:textId="77777777" w:rsidTr="00EA3177">
        <w:trPr>
          <w:trHeight w:val="326"/>
        </w:trPr>
        <w:tc>
          <w:tcPr>
            <w:tcW w:w="1659" w:type="dxa"/>
            <w:gridSpan w:val="2"/>
            <w:vMerge/>
            <w:shd w:val="clear" w:color="auto" w:fill="DBE5F1" w:themeFill="accent1" w:themeFillTint="33"/>
          </w:tcPr>
          <w:p w14:paraId="092DEFC7" w14:textId="77777777" w:rsidR="00AD54C4" w:rsidRPr="003653BC" w:rsidRDefault="00AD54C4" w:rsidP="00AD54C4"/>
        </w:tc>
        <w:tc>
          <w:tcPr>
            <w:tcW w:w="3246" w:type="dxa"/>
            <w:shd w:val="clear" w:color="auto" w:fill="F2F2F2" w:themeFill="background1" w:themeFillShade="F2"/>
          </w:tcPr>
          <w:p w14:paraId="42545639" w14:textId="0E2C1928" w:rsidR="00AD54C4" w:rsidRDefault="00AD54C4" w:rsidP="00AD54C4">
            <w:r>
              <w:t>5.1.6 Feedback on provision</w:t>
            </w:r>
          </w:p>
        </w:tc>
        <w:tc>
          <w:tcPr>
            <w:tcW w:w="9838" w:type="dxa"/>
            <w:gridSpan w:val="2"/>
            <w:shd w:val="clear" w:color="auto" w:fill="F2F2F2" w:themeFill="background1" w:themeFillShade="F2"/>
          </w:tcPr>
          <w:p w14:paraId="387C93A3" w14:textId="3BE8A029" w:rsidR="00AD54C4" w:rsidRPr="004906C1" w:rsidRDefault="00AD54C4" w:rsidP="00AD54C4">
            <w:r>
              <w:t xml:space="preserve">Learners reflect on their own engagement with support provision to achieve well, and present constructive suggestions for improvement where appropriate. </w:t>
            </w:r>
          </w:p>
        </w:tc>
      </w:tr>
      <w:tr w:rsidR="00A74A39" w14:paraId="27AF4A9B" w14:textId="77777777" w:rsidTr="00EA3177">
        <w:trPr>
          <w:trHeight w:val="326"/>
        </w:trPr>
        <w:tc>
          <w:tcPr>
            <w:tcW w:w="1659" w:type="dxa"/>
            <w:gridSpan w:val="2"/>
            <w:vMerge w:val="restart"/>
            <w:shd w:val="clear" w:color="auto" w:fill="DBE5F1" w:themeFill="accent1" w:themeFillTint="33"/>
          </w:tcPr>
          <w:p w14:paraId="47755D83" w14:textId="77777777" w:rsidR="00A74A39" w:rsidRDefault="00A74A39" w:rsidP="00AD54C4">
            <w:r>
              <w:t>5.2</w:t>
            </w:r>
          </w:p>
          <w:p w14:paraId="1D652BE3" w14:textId="3095242B" w:rsidR="00A74A39" w:rsidRPr="003653BC" w:rsidRDefault="00A74A39" w:rsidP="00AD54C4">
            <w:r>
              <w:t>Skills, knowledge &amp; Attitude</w:t>
            </w:r>
          </w:p>
        </w:tc>
        <w:tc>
          <w:tcPr>
            <w:tcW w:w="3246" w:type="dxa"/>
            <w:shd w:val="clear" w:color="auto" w:fill="F2F2F2" w:themeFill="background1" w:themeFillShade="F2"/>
          </w:tcPr>
          <w:p w14:paraId="4683B613" w14:textId="7FEDFFF4" w:rsidR="00A74A39" w:rsidRPr="009060E7" w:rsidRDefault="00A74A39" w:rsidP="00AD54C4">
            <w:r>
              <w:t>5.2.1 Study skills</w:t>
            </w:r>
          </w:p>
        </w:tc>
        <w:tc>
          <w:tcPr>
            <w:tcW w:w="9838" w:type="dxa"/>
            <w:gridSpan w:val="2"/>
            <w:shd w:val="clear" w:color="auto" w:fill="F2F2F2" w:themeFill="background1" w:themeFillShade="F2"/>
          </w:tcPr>
          <w:p w14:paraId="45ECC786" w14:textId="7E98C612" w:rsidR="007B2BE0" w:rsidRPr="004906C1" w:rsidRDefault="00A74A39" w:rsidP="00AD54C4">
            <w:r>
              <w:t>Learners use independent learning skills to enable them to exceed expectations on all activities.</w:t>
            </w:r>
          </w:p>
        </w:tc>
      </w:tr>
      <w:tr w:rsidR="00A74A39" w14:paraId="0A9BAD53" w14:textId="77777777" w:rsidTr="00EA3177">
        <w:trPr>
          <w:trHeight w:val="888"/>
        </w:trPr>
        <w:tc>
          <w:tcPr>
            <w:tcW w:w="1659" w:type="dxa"/>
            <w:gridSpan w:val="2"/>
            <w:vMerge/>
            <w:shd w:val="clear" w:color="auto" w:fill="DBE5F1" w:themeFill="accent1" w:themeFillTint="33"/>
          </w:tcPr>
          <w:p w14:paraId="14EB3996" w14:textId="77777777" w:rsidR="00A74A39" w:rsidRDefault="00A74A39" w:rsidP="00AD54C4"/>
        </w:tc>
        <w:tc>
          <w:tcPr>
            <w:tcW w:w="3246" w:type="dxa"/>
            <w:shd w:val="clear" w:color="auto" w:fill="F2F2F2" w:themeFill="background1" w:themeFillShade="F2"/>
          </w:tcPr>
          <w:p w14:paraId="1F0CF39B" w14:textId="3903F313" w:rsidR="00A74A39" w:rsidRDefault="00A74A39" w:rsidP="00AD54C4">
            <w:r>
              <w:t xml:space="preserve">5.2.2 Literacy, </w:t>
            </w:r>
            <w:r w:rsidR="00610941">
              <w:t>n</w:t>
            </w:r>
            <w:r>
              <w:t xml:space="preserve">umeracy &amp; </w:t>
            </w:r>
            <w:r w:rsidR="00610941">
              <w:t>d</w:t>
            </w:r>
            <w:r>
              <w:t xml:space="preserve">igital </w:t>
            </w:r>
            <w:r w:rsidR="00610941">
              <w:t>s</w:t>
            </w:r>
            <w:r>
              <w:t>kills</w:t>
            </w:r>
          </w:p>
        </w:tc>
        <w:tc>
          <w:tcPr>
            <w:tcW w:w="9838" w:type="dxa"/>
            <w:gridSpan w:val="2"/>
            <w:shd w:val="clear" w:color="auto" w:fill="F2F2F2" w:themeFill="background1" w:themeFillShade="F2"/>
          </w:tcPr>
          <w:p w14:paraId="4EEA390E" w14:textId="196E6FDF" w:rsidR="00A74A39" w:rsidRPr="00E6785D" w:rsidRDefault="00A74A39" w:rsidP="00AD54C4">
            <w:r>
              <w:t xml:space="preserve">Learners understand any challenges they face with literacy, numeracy and digital skills and work incrementally to develop these skills.  </w:t>
            </w:r>
            <w:r w:rsidRPr="00DF6390">
              <w:t xml:space="preserve">Learners apply skills competently within their subject </w:t>
            </w:r>
            <w:r>
              <w:t xml:space="preserve">area </w:t>
            </w:r>
            <w:r w:rsidRPr="00DF6390">
              <w:t xml:space="preserve">at the appropriate level </w:t>
            </w:r>
            <w:r>
              <w:t xml:space="preserve">to </w:t>
            </w:r>
            <w:r w:rsidRPr="00DF6390">
              <w:t>prepar</w:t>
            </w:r>
            <w:r>
              <w:t>e</w:t>
            </w:r>
            <w:r w:rsidRPr="00DF6390">
              <w:t xml:space="preserve"> them for </w:t>
            </w:r>
            <w:r>
              <w:t>employment or further study</w:t>
            </w:r>
            <w:r w:rsidRPr="00DF6390">
              <w:t>.</w:t>
            </w:r>
          </w:p>
        </w:tc>
      </w:tr>
      <w:tr w:rsidR="00A74A39" w14:paraId="7B4A2A51" w14:textId="77777777" w:rsidTr="007B25B5">
        <w:trPr>
          <w:trHeight w:val="377"/>
        </w:trPr>
        <w:tc>
          <w:tcPr>
            <w:tcW w:w="1659" w:type="dxa"/>
            <w:gridSpan w:val="2"/>
            <w:vMerge/>
            <w:shd w:val="clear" w:color="auto" w:fill="DBE5F1" w:themeFill="accent1" w:themeFillTint="33"/>
          </w:tcPr>
          <w:p w14:paraId="48DD2CB8" w14:textId="77777777" w:rsidR="00A74A39" w:rsidRDefault="00A74A39" w:rsidP="00AD54C4"/>
        </w:tc>
        <w:tc>
          <w:tcPr>
            <w:tcW w:w="3246" w:type="dxa"/>
            <w:shd w:val="clear" w:color="auto" w:fill="F2F2F2" w:themeFill="background1" w:themeFillShade="F2"/>
          </w:tcPr>
          <w:p w14:paraId="6809611D" w14:textId="77CD88EA" w:rsidR="00A74A39" w:rsidRPr="00156088" w:rsidRDefault="00A74A39" w:rsidP="00AD54C4">
            <w:pPr>
              <w:rPr>
                <w:color w:val="FF0000"/>
              </w:rPr>
            </w:pPr>
            <w:r w:rsidRPr="00156088">
              <w:rPr>
                <w:color w:val="FF0000"/>
              </w:rPr>
              <w:t xml:space="preserve">5.2.3 </w:t>
            </w:r>
            <w:r w:rsidR="00883B75" w:rsidRPr="00156088">
              <w:rPr>
                <w:color w:val="FF0000"/>
              </w:rPr>
              <w:t>R</w:t>
            </w:r>
            <w:r w:rsidRPr="00156088">
              <w:rPr>
                <w:color w:val="FF0000"/>
              </w:rPr>
              <w:t>esilience</w:t>
            </w:r>
            <w:r w:rsidR="00883B75" w:rsidRPr="00156088">
              <w:rPr>
                <w:color w:val="FF0000"/>
              </w:rPr>
              <w:t xml:space="preserve"> and </w:t>
            </w:r>
            <w:r w:rsidR="008E79FC">
              <w:rPr>
                <w:color w:val="FF0000"/>
              </w:rPr>
              <w:t>p</w:t>
            </w:r>
            <w:r w:rsidR="00883B75" w:rsidRPr="00156088">
              <w:rPr>
                <w:color w:val="FF0000"/>
              </w:rPr>
              <w:t>ositive attitude to learning</w:t>
            </w:r>
          </w:p>
        </w:tc>
        <w:tc>
          <w:tcPr>
            <w:tcW w:w="9838" w:type="dxa"/>
            <w:gridSpan w:val="2"/>
            <w:shd w:val="clear" w:color="auto" w:fill="F2F2F2" w:themeFill="background1" w:themeFillShade="F2"/>
          </w:tcPr>
          <w:p w14:paraId="4ADF804F" w14:textId="4A75148F" w:rsidR="00A74A39" w:rsidRPr="007B25B5" w:rsidRDefault="00F928C9" w:rsidP="00AD54C4">
            <w:r w:rsidRPr="007B25B5">
              <w:t xml:space="preserve">Learners feel supported and motivated to attend </w:t>
            </w:r>
            <w:r w:rsidR="00883B75" w:rsidRPr="007B25B5">
              <w:t xml:space="preserve">College and demonstrate a strong work ethic. </w:t>
            </w:r>
            <w:r w:rsidR="00156088">
              <w:rPr>
                <w:color w:val="FF0000"/>
              </w:rPr>
              <w:t xml:space="preserve">Learners recognise any drops in learning momentum and have a range of strategies on which to draw to work through their resilience challenges. </w:t>
            </w:r>
            <w:r w:rsidR="00883B75" w:rsidRPr="007B25B5">
              <w:t xml:space="preserve"> </w:t>
            </w:r>
          </w:p>
        </w:tc>
      </w:tr>
      <w:tr w:rsidR="00A74A39" w14:paraId="0E3DFC0D" w14:textId="77777777" w:rsidTr="00EA3177">
        <w:trPr>
          <w:trHeight w:val="326"/>
        </w:trPr>
        <w:tc>
          <w:tcPr>
            <w:tcW w:w="1659" w:type="dxa"/>
            <w:gridSpan w:val="2"/>
            <w:vMerge/>
            <w:shd w:val="clear" w:color="auto" w:fill="DBE5F1" w:themeFill="accent1" w:themeFillTint="33"/>
          </w:tcPr>
          <w:p w14:paraId="677597B3" w14:textId="77777777" w:rsidR="00A74A39" w:rsidRDefault="00A74A39" w:rsidP="0098439C"/>
        </w:tc>
        <w:tc>
          <w:tcPr>
            <w:tcW w:w="3246" w:type="dxa"/>
            <w:shd w:val="clear" w:color="auto" w:fill="F2F2F2" w:themeFill="background1" w:themeFillShade="F2"/>
          </w:tcPr>
          <w:p w14:paraId="254999C7" w14:textId="3C2D9994" w:rsidR="00A74A39" w:rsidRPr="00156088" w:rsidRDefault="00A74A39" w:rsidP="0098439C">
            <w:pPr>
              <w:rPr>
                <w:color w:val="FF0000"/>
              </w:rPr>
            </w:pPr>
            <w:r w:rsidRPr="00156088">
              <w:rPr>
                <w:color w:val="FF0000"/>
              </w:rPr>
              <w:t>5.2.</w:t>
            </w:r>
            <w:r w:rsidR="00EA3177" w:rsidRPr="00156088">
              <w:rPr>
                <w:color w:val="FF0000"/>
              </w:rPr>
              <w:t>4</w:t>
            </w:r>
            <w:r w:rsidRPr="00156088">
              <w:rPr>
                <w:color w:val="FF0000"/>
              </w:rPr>
              <w:t xml:space="preserve"> Behaviour</w:t>
            </w:r>
          </w:p>
        </w:tc>
        <w:tc>
          <w:tcPr>
            <w:tcW w:w="9838" w:type="dxa"/>
            <w:gridSpan w:val="2"/>
            <w:shd w:val="clear" w:color="auto" w:fill="F2F2F2" w:themeFill="background1" w:themeFillShade="F2"/>
          </w:tcPr>
          <w:p w14:paraId="139D226A" w14:textId="08A27D08" w:rsidR="00634875" w:rsidRPr="004906C1" w:rsidRDefault="00A74A39" w:rsidP="0098439C">
            <w:r>
              <w:t>Learners are aware of and adhering to the Learner code of conduct</w:t>
            </w:r>
            <w:r w:rsidR="005D7C8B">
              <w:t xml:space="preserve"> and use their understanding of fairness, equality and tolerance to guide their behaviour and encourage appropriate conduct from others.</w:t>
            </w:r>
            <w:r>
              <w:t xml:space="preserve"> </w:t>
            </w:r>
          </w:p>
        </w:tc>
      </w:tr>
    </w:tbl>
    <w:p w14:paraId="64E15277" w14:textId="77777777" w:rsidR="008E79FC" w:rsidRDefault="008E79FC">
      <w:r>
        <w:br w:type="page"/>
      </w:r>
    </w:p>
    <w:tbl>
      <w:tblPr>
        <w:tblStyle w:val="TableGrid"/>
        <w:tblW w:w="14743" w:type="dxa"/>
        <w:tblInd w:w="-431" w:type="dxa"/>
        <w:tblLook w:val="04A0" w:firstRow="1" w:lastRow="0" w:firstColumn="1" w:lastColumn="0" w:noHBand="0" w:noVBand="1"/>
      </w:tblPr>
      <w:tblGrid>
        <w:gridCol w:w="1659"/>
        <w:gridCol w:w="3246"/>
        <w:gridCol w:w="9838"/>
      </w:tblGrid>
      <w:tr w:rsidR="0098439C" w14:paraId="661A1C10" w14:textId="77777777" w:rsidTr="008E79FC">
        <w:trPr>
          <w:trHeight w:val="326"/>
        </w:trPr>
        <w:tc>
          <w:tcPr>
            <w:tcW w:w="1659" w:type="dxa"/>
            <w:vMerge w:val="restart"/>
            <w:shd w:val="clear" w:color="auto" w:fill="DBE5F1" w:themeFill="accent1" w:themeFillTint="33"/>
          </w:tcPr>
          <w:p w14:paraId="4F69FFA1" w14:textId="230A801B" w:rsidR="0098439C" w:rsidRDefault="0098439C" w:rsidP="0098439C">
            <w:r>
              <w:lastRenderedPageBreak/>
              <w:t>5.3</w:t>
            </w:r>
          </w:p>
          <w:p w14:paraId="32A27B87" w14:textId="69968B47" w:rsidR="0098439C" w:rsidRDefault="0098439C" w:rsidP="0098439C">
            <w:r>
              <w:t>Data</w:t>
            </w:r>
          </w:p>
        </w:tc>
        <w:tc>
          <w:tcPr>
            <w:tcW w:w="3246" w:type="dxa"/>
            <w:shd w:val="clear" w:color="auto" w:fill="F2F2F2" w:themeFill="background1" w:themeFillShade="F2"/>
          </w:tcPr>
          <w:p w14:paraId="1E69BDE4" w14:textId="3AFA82D2" w:rsidR="0098439C" w:rsidRDefault="0098439C" w:rsidP="0098439C">
            <w:r>
              <w:t>5.3.1 Performance</w:t>
            </w:r>
          </w:p>
        </w:tc>
        <w:tc>
          <w:tcPr>
            <w:tcW w:w="9838" w:type="dxa"/>
            <w:shd w:val="clear" w:color="auto" w:fill="F2F2F2" w:themeFill="background1" w:themeFillShade="F2"/>
          </w:tcPr>
          <w:p w14:paraId="59A6911E" w14:textId="24540E9A" w:rsidR="0098439C" w:rsidRPr="004906C1" w:rsidRDefault="0098439C" w:rsidP="0098439C">
            <w:r w:rsidRPr="005B3D3A">
              <w:t>Comprehensive</w:t>
            </w:r>
            <w:r>
              <w:t xml:space="preserve"> </w:t>
            </w:r>
            <w:r w:rsidRPr="005B3D3A">
              <w:t xml:space="preserve">data on </w:t>
            </w:r>
            <w:r w:rsidR="00243D0E">
              <w:t xml:space="preserve">course </w:t>
            </w:r>
            <w:r>
              <w:t>performance</w:t>
            </w:r>
            <w:r w:rsidRPr="005B3D3A">
              <w:t xml:space="preserve"> provides learners with</w:t>
            </w:r>
            <w:r w:rsidR="00192FC5">
              <w:t xml:space="preserve"> comprehensive</w:t>
            </w:r>
            <w:r w:rsidRPr="005B3D3A">
              <w:t xml:space="preserve"> feedback on their progress</w:t>
            </w:r>
            <w:r>
              <w:t>.  Learners use th</w:t>
            </w:r>
            <w:r w:rsidR="00156088">
              <w:t>e</w:t>
            </w:r>
            <w:r>
              <w:t>s</w:t>
            </w:r>
            <w:r w:rsidR="00156088">
              <w:t>e</w:t>
            </w:r>
            <w:r>
              <w:t xml:space="preserve"> data to inform future </w:t>
            </w:r>
            <w:r w:rsidR="00192FC5">
              <w:t>course performance</w:t>
            </w:r>
            <w:r w:rsidR="0083314E">
              <w:t xml:space="preserve"> and make </w:t>
            </w:r>
            <w:r w:rsidR="00192FC5">
              <w:t>improvements</w:t>
            </w:r>
            <w:r w:rsidRPr="005B3D3A">
              <w:t>.</w:t>
            </w:r>
            <w:r>
              <w:t xml:space="preserve"> </w:t>
            </w:r>
          </w:p>
        </w:tc>
      </w:tr>
      <w:tr w:rsidR="0098439C" w14:paraId="7C633C94" w14:textId="77777777" w:rsidTr="008E79FC">
        <w:trPr>
          <w:trHeight w:val="355"/>
        </w:trPr>
        <w:tc>
          <w:tcPr>
            <w:tcW w:w="1659" w:type="dxa"/>
            <w:vMerge/>
            <w:shd w:val="clear" w:color="auto" w:fill="DBE5F1" w:themeFill="accent1" w:themeFillTint="33"/>
          </w:tcPr>
          <w:p w14:paraId="3056FD43" w14:textId="77777777" w:rsidR="0098439C" w:rsidRDefault="0098439C" w:rsidP="0098439C"/>
        </w:tc>
        <w:tc>
          <w:tcPr>
            <w:tcW w:w="3246" w:type="dxa"/>
            <w:shd w:val="clear" w:color="auto" w:fill="F2F2F2" w:themeFill="background1" w:themeFillShade="F2"/>
          </w:tcPr>
          <w:p w14:paraId="143ECA09" w14:textId="43CDFDBF" w:rsidR="0098439C" w:rsidRDefault="0098439C" w:rsidP="0098439C">
            <w:r>
              <w:t>5.3.2 Attendance</w:t>
            </w:r>
          </w:p>
        </w:tc>
        <w:tc>
          <w:tcPr>
            <w:tcW w:w="9838" w:type="dxa"/>
            <w:shd w:val="clear" w:color="auto" w:fill="F2F2F2" w:themeFill="background1" w:themeFillShade="F2"/>
          </w:tcPr>
          <w:p w14:paraId="47D974D0" w14:textId="38AF2997" w:rsidR="0098439C" w:rsidRPr="004906C1" w:rsidRDefault="0098439C" w:rsidP="0098439C">
            <w:r w:rsidRPr="00CD7A4C">
              <w:t xml:space="preserve">Learners are motivated to maintain </w:t>
            </w:r>
            <w:r>
              <w:t>full</w:t>
            </w:r>
            <w:r w:rsidRPr="00CD7A4C">
              <w:t xml:space="preserve"> attendance</w:t>
            </w:r>
            <w:r>
              <w:t xml:space="preserve"> and good time keeping</w:t>
            </w:r>
            <w:r w:rsidR="00090AD7">
              <w:t xml:space="preserve"> </w:t>
            </w:r>
            <w:r w:rsidR="00D75EF0" w:rsidRPr="00D75EF0">
              <w:t>and understand the impact this can have on their learning.</w:t>
            </w:r>
          </w:p>
        </w:tc>
      </w:tr>
      <w:tr w:rsidR="004A17C6" w14:paraId="754D9F93" w14:textId="77777777" w:rsidTr="008E79FC">
        <w:trPr>
          <w:trHeight w:val="326"/>
        </w:trPr>
        <w:tc>
          <w:tcPr>
            <w:tcW w:w="1659" w:type="dxa"/>
            <w:vMerge w:val="restart"/>
            <w:shd w:val="clear" w:color="auto" w:fill="DBE5F1" w:themeFill="accent1" w:themeFillTint="33"/>
          </w:tcPr>
          <w:p w14:paraId="5DF78FCC" w14:textId="77777777" w:rsidR="004A17C6" w:rsidRDefault="004A17C6" w:rsidP="0098439C">
            <w:r>
              <w:t>5.4</w:t>
            </w:r>
          </w:p>
          <w:p w14:paraId="6F896FDB" w14:textId="2663CE8C" w:rsidR="004A17C6" w:rsidRDefault="004A17C6" w:rsidP="0098439C">
            <w:r>
              <w:t>Targets &amp; aspirations</w:t>
            </w:r>
          </w:p>
        </w:tc>
        <w:tc>
          <w:tcPr>
            <w:tcW w:w="3246" w:type="dxa"/>
            <w:shd w:val="clear" w:color="auto" w:fill="F2F2F2" w:themeFill="background1" w:themeFillShade="F2"/>
          </w:tcPr>
          <w:p w14:paraId="06951EB2" w14:textId="27CD45C5" w:rsidR="004A17C6" w:rsidRDefault="004A17C6" w:rsidP="0098439C">
            <w:r>
              <w:t>5.4.1 Course</w:t>
            </w:r>
          </w:p>
        </w:tc>
        <w:tc>
          <w:tcPr>
            <w:tcW w:w="9838" w:type="dxa"/>
            <w:shd w:val="clear" w:color="auto" w:fill="F2F2F2" w:themeFill="background1" w:themeFillShade="F2"/>
          </w:tcPr>
          <w:p w14:paraId="21C74924" w14:textId="2DD0F91C" w:rsidR="004A17C6" w:rsidRPr="004906C1" w:rsidRDefault="004A17C6" w:rsidP="0098439C">
            <w:r>
              <w:t>Learners are</w:t>
            </w:r>
            <w:r w:rsidR="00DE043E">
              <w:t xml:space="preserve"> pro-active and </w:t>
            </w:r>
            <w:r>
              <w:t>skilled in setting</w:t>
            </w:r>
            <w:r w:rsidR="00DE043E">
              <w:t xml:space="preserve"> their own</w:t>
            </w:r>
            <w:r>
              <w:t xml:space="preserve"> clear targets to develop their strengths and overcome weaker areas. </w:t>
            </w:r>
          </w:p>
        </w:tc>
      </w:tr>
      <w:tr w:rsidR="004A17C6" w14:paraId="424EDEBE" w14:textId="77777777" w:rsidTr="008E79FC">
        <w:trPr>
          <w:trHeight w:val="326"/>
        </w:trPr>
        <w:tc>
          <w:tcPr>
            <w:tcW w:w="1659" w:type="dxa"/>
            <w:vMerge/>
            <w:shd w:val="clear" w:color="auto" w:fill="DBE5F1" w:themeFill="accent1" w:themeFillTint="33"/>
          </w:tcPr>
          <w:p w14:paraId="4CEB5151" w14:textId="77777777" w:rsidR="004A17C6" w:rsidRDefault="004A17C6" w:rsidP="0098439C"/>
        </w:tc>
        <w:tc>
          <w:tcPr>
            <w:tcW w:w="3246" w:type="dxa"/>
            <w:shd w:val="clear" w:color="auto" w:fill="F2F2F2" w:themeFill="background1" w:themeFillShade="F2"/>
          </w:tcPr>
          <w:p w14:paraId="7A9B7E7E" w14:textId="4B1E0F0D" w:rsidR="004A17C6" w:rsidRDefault="004A17C6" w:rsidP="0098439C">
            <w:r>
              <w:t>5.4.2 Personal</w:t>
            </w:r>
          </w:p>
        </w:tc>
        <w:tc>
          <w:tcPr>
            <w:tcW w:w="9838" w:type="dxa"/>
            <w:shd w:val="clear" w:color="auto" w:fill="F2F2F2" w:themeFill="background1" w:themeFillShade="F2"/>
          </w:tcPr>
          <w:p w14:paraId="3A50A175" w14:textId="7F027646" w:rsidR="004A17C6" w:rsidRPr="004906C1" w:rsidRDefault="004A17C6" w:rsidP="0098439C">
            <w:r>
              <w:t>Learners are</w:t>
            </w:r>
            <w:r w:rsidR="00DE043E">
              <w:t xml:space="preserve"> pro-active and</w:t>
            </w:r>
            <w:r>
              <w:t xml:space="preserve"> skilled in setting </w:t>
            </w:r>
            <w:r w:rsidR="00DE043E">
              <w:t xml:space="preserve">their own </w:t>
            </w:r>
            <w:r>
              <w:t>clear targets to develop their own goals for personal growth</w:t>
            </w:r>
            <w:r w:rsidR="00EB2ED7">
              <w:t xml:space="preserve"> and to develop wider interests</w:t>
            </w:r>
            <w:r>
              <w:t>.</w:t>
            </w:r>
          </w:p>
        </w:tc>
      </w:tr>
      <w:tr w:rsidR="004A17C6" w14:paraId="2C2FB145" w14:textId="77777777" w:rsidTr="008E79FC">
        <w:trPr>
          <w:trHeight w:val="326"/>
        </w:trPr>
        <w:tc>
          <w:tcPr>
            <w:tcW w:w="1659" w:type="dxa"/>
            <w:vMerge/>
            <w:shd w:val="clear" w:color="auto" w:fill="DBE5F1" w:themeFill="accent1" w:themeFillTint="33"/>
          </w:tcPr>
          <w:p w14:paraId="1A9DE42B" w14:textId="77777777" w:rsidR="004A17C6" w:rsidRDefault="004A17C6" w:rsidP="0098439C"/>
        </w:tc>
        <w:tc>
          <w:tcPr>
            <w:tcW w:w="3246" w:type="dxa"/>
            <w:shd w:val="clear" w:color="auto" w:fill="F2F2F2" w:themeFill="background1" w:themeFillShade="F2"/>
          </w:tcPr>
          <w:p w14:paraId="3646F893" w14:textId="1BBE1085" w:rsidR="004A17C6" w:rsidRDefault="004A17C6" w:rsidP="0098439C">
            <w:r>
              <w:t>5.4.3 Career</w:t>
            </w:r>
          </w:p>
        </w:tc>
        <w:tc>
          <w:tcPr>
            <w:tcW w:w="9838" w:type="dxa"/>
            <w:shd w:val="clear" w:color="auto" w:fill="F2F2F2" w:themeFill="background1" w:themeFillShade="F2"/>
          </w:tcPr>
          <w:p w14:paraId="5BBAE6A8" w14:textId="54F3AF4B" w:rsidR="004A17C6" w:rsidRPr="004906C1" w:rsidRDefault="004A17C6" w:rsidP="0098439C">
            <w:r>
              <w:t>The setting out</w:t>
            </w:r>
            <w:r w:rsidRPr="00B111CD">
              <w:t xml:space="preserve"> </w:t>
            </w:r>
            <w:r>
              <w:t xml:space="preserve">of </w:t>
            </w:r>
            <w:r w:rsidRPr="00B111CD">
              <w:t>informed</w:t>
            </w:r>
            <w:r>
              <w:t xml:space="preserve"> </w:t>
            </w:r>
            <w:r w:rsidRPr="00B111CD">
              <w:t>career aspirations</w:t>
            </w:r>
            <w:r>
              <w:t xml:space="preserve"> </w:t>
            </w:r>
            <w:r w:rsidRPr="00B111CD">
              <w:t>inspir</w:t>
            </w:r>
            <w:r>
              <w:t xml:space="preserve">es learners </w:t>
            </w:r>
            <w:r w:rsidRPr="00B111CD">
              <w:t xml:space="preserve">to </w:t>
            </w:r>
            <w:r>
              <w:t xml:space="preserve">commit wholeheartedly to their studies and </w:t>
            </w:r>
            <w:r w:rsidRPr="00B111CD">
              <w:t>reach their full potential.</w:t>
            </w:r>
            <w:r>
              <w:t xml:space="preserve"> </w:t>
            </w:r>
          </w:p>
        </w:tc>
      </w:tr>
      <w:tr w:rsidR="004A17C6" w14:paraId="063ABD29" w14:textId="77777777" w:rsidTr="008E79FC">
        <w:trPr>
          <w:trHeight w:val="326"/>
        </w:trPr>
        <w:tc>
          <w:tcPr>
            <w:tcW w:w="1659" w:type="dxa"/>
            <w:vMerge/>
            <w:shd w:val="clear" w:color="auto" w:fill="DBE5F1" w:themeFill="accent1" w:themeFillTint="33"/>
          </w:tcPr>
          <w:p w14:paraId="0A1F66E8" w14:textId="77777777" w:rsidR="004A17C6" w:rsidRDefault="004A17C6" w:rsidP="0098439C"/>
        </w:tc>
        <w:tc>
          <w:tcPr>
            <w:tcW w:w="3246" w:type="dxa"/>
            <w:shd w:val="clear" w:color="auto" w:fill="F2F2F2" w:themeFill="background1" w:themeFillShade="F2"/>
          </w:tcPr>
          <w:p w14:paraId="71BB8109" w14:textId="0F437450" w:rsidR="004A17C6" w:rsidRDefault="004A17C6" w:rsidP="0098439C">
            <w:r>
              <w:t>5.4</w:t>
            </w:r>
            <w:r w:rsidR="00150289">
              <w:t xml:space="preserve">.4 </w:t>
            </w:r>
            <w:r w:rsidR="001C4F86">
              <w:t>Experience</w:t>
            </w:r>
          </w:p>
        </w:tc>
        <w:tc>
          <w:tcPr>
            <w:tcW w:w="9838" w:type="dxa"/>
            <w:shd w:val="clear" w:color="auto" w:fill="F2F2F2" w:themeFill="background1" w:themeFillShade="F2"/>
          </w:tcPr>
          <w:p w14:paraId="41521D4C" w14:textId="11A312F2" w:rsidR="004A17C6" w:rsidRDefault="00E24140" w:rsidP="00E24140">
            <w:r>
              <w:t xml:space="preserve">Learners are proactive in planning and </w:t>
            </w:r>
            <w:r w:rsidR="00E0044B">
              <w:t>benefitting from</w:t>
            </w:r>
            <w:r>
              <w:t xml:space="preserve"> valuable experiences, whether these be around independent interests, work-related </w:t>
            </w:r>
            <w:r w:rsidR="00550A65">
              <w:t xml:space="preserve">activity </w:t>
            </w:r>
            <w:r>
              <w:t>or volunteering</w:t>
            </w:r>
            <w:r w:rsidR="002A7D69">
              <w:t xml:space="preserve"> and reflect on these experiences when considering their</w:t>
            </w:r>
            <w:r w:rsidR="0039189E">
              <w:t xml:space="preserve"> future plans.  </w:t>
            </w:r>
          </w:p>
        </w:tc>
      </w:tr>
      <w:tr w:rsidR="00B77B54" w14:paraId="4F2DDDDF" w14:textId="77777777" w:rsidTr="008E79FC">
        <w:trPr>
          <w:trHeight w:val="326"/>
        </w:trPr>
        <w:tc>
          <w:tcPr>
            <w:tcW w:w="1659" w:type="dxa"/>
            <w:vMerge w:val="restart"/>
            <w:shd w:val="clear" w:color="auto" w:fill="DBE5F1" w:themeFill="accent1" w:themeFillTint="33"/>
          </w:tcPr>
          <w:p w14:paraId="5C543BBE" w14:textId="77777777" w:rsidR="00B77B54" w:rsidRDefault="00B77B54" w:rsidP="0098439C">
            <w:r>
              <w:t xml:space="preserve">5.5 </w:t>
            </w:r>
          </w:p>
          <w:p w14:paraId="51956586" w14:textId="339E55F4" w:rsidR="00B77B54" w:rsidRPr="009C1BB1" w:rsidRDefault="00B77B54" w:rsidP="0098439C">
            <w:r>
              <w:t>Support</w:t>
            </w:r>
          </w:p>
        </w:tc>
        <w:tc>
          <w:tcPr>
            <w:tcW w:w="3246" w:type="dxa"/>
            <w:shd w:val="clear" w:color="auto" w:fill="F2F2F2" w:themeFill="background1" w:themeFillShade="F2"/>
          </w:tcPr>
          <w:p w14:paraId="6B64B937" w14:textId="1992F233" w:rsidR="00B77B54" w:rsidRPr="009C1BB1" w:rsidRDefault="00B77B54" w:rsidP="0098439C">
            <w:r>
              <w:t>5.5.</w:t>
            </w:r>
            <w:r w:rsidR="00A05A45">
              <w:t>1</w:t>
            </w:r>
            <w:r>
              <w:t xml:space="preserve"> Progress towards independence of support</w:t>
            </w:r>
          </w:p>
        </w:tc>
        <w:tc>
          <w:tcPr>
            <w:tcW w:w="9838" w:type="dxa"/>
            <w:shd w:val="clear" w:color="auto" w:fill="F2F2F2" w:themeFill="background1" w:themeFillShade="F2"/>
          </w:tcPr>
          <w:p w14:paraId="122276A2" w14:textId="6B2015E5" w:rsidR="00B77B54" w:rsidRPr="004906C1" w:rsidRDefault="00B77B54" w:rsidP="0098439C">
            <w:r>
              <w:t xml:space="preserve">Learners feel </w:t>
            </w:r>
            <w:r w:rsidR="003B076B">
              <w:t>confident</w:t>
            </w:r>
            <w:r>
              <w:t xml:space="preserve"> to access additional learning support and understand how this will enable them to learn independently. Learners, teachers and support workers understand the discrete barriers to independence and continually monitor the effectiveness of support arrangements, and progress towards the celebration of independence of support (wherever possible). </w:t>
            </w:r>
          </w:p>
        </w:tc>
      </w:tr>
      <w:tr w:rsidR="00B77B54" w14:paraId="4CC6265A" w14:textId="77777777" w:rsidTr="008E79FC">
        <w:trPr>
          <w:trHeight w:val="326"/>
        </w:trPr>
        <w:tc>
          <w:tcPr>
            <w:tcW w:w="1659" w:type="dxa"/>
            <w:vMerge/>
            <w:shd w:val="clear" w:color="auto" w:fill="DBE5F1" w:themeFill="accent1" w:themeFillTint="33"/>
          </w:tcPr>
          <w:p w14:paraId="109816C1" w14:textId="77777777" w:rsidR="00B77B54" w:rsidRDefault="00B77B54" w:rsidP="0098439C"/>
        </w:tc>
        <w:tc>
          <w:tcPr>
            <w:tcW w:w="3246" w:type="dxa"/>
            <w:shd w:val="clear" w:color="auto" w:fill="F2F2F2" w:themeFill="background1" w:themeFillShade="F2"/>
          </w:tcPr>
          <w:p w14:paraId="35AD9A38" w14:textId="45001EAC" w:rsidR="00B77B54" w:rsidRDefault="00B77B54" w:rsidP="0098439C">
            <w:r>
              <w:t>5.5.2 Wellbeing</w:t>
            </w:r>
          </w:p>
        </w:tc>
        <w:tc>
          <w:tcPr>
            <w:tcW w:w="9838" w:type="dxa"/>
            <w:shd w:val="clear" w:color="auto" w:fill="F2F2F2" w:themeFill="background1" w:themeFillShade="F2"/>
          </w:tcPr>
          <w:p w14:paraId="60022158" w14:textId="5B553658" w:rsidR="00B77B54" w:rsidRPr="004906C1" w:rsidRDefault="00B77B54" w:rsidP="0098439C">
            <w:r>
              <w:t xml:space="preserve">Learners feel safe and socially integrated into their learning environment and feel confident to access support when needed.  </w:t>
            </w:r>
          </w:p>
        </w:tc>
      </w:tr>
      <w:tr w:rsidR="00B77B54" w14:paraId="70BA303A" w14:textId="77777777" w:rsidTr="008E79FC">
        <w:trPr>
          <w:trHeight w:val="326"/>
        </w:trPr>
        <w:tc>
          <w:tcPr>
            <w:tcW w:w="1659" w:type="dxa"/>
            <w:vMerge/>
            <w:shd w:val="clear" w:color="auto" w:fill="DBE5F1" w:themeFill="accent1" w:themeFillTint="33"/>
          </w:tcPr>
          <w:p w14:paraId="684BF11E" w14:textId="77777777" w:rsidR="00B77B54" w:rsidRDefault="00B77B54" w:rsidP="0098439C"/>
        </w:tc>
        <w:tc>
          <w:tcPr>
            <w:tcW w:w="3246" w:type="dxa"/>
            <w:shd w:val="clear" w:color="auto" w:fill="F2F2F2" w:themeFill="background1" w:themeFillShade="F2"/>
          </w:tcPr>
          <w:p w14:paraId="446DF6E5" w14:textId="3E7C6B2B" w:rsidR="00B77B54" w:rsidRDefault="00B77B54" w:rsidP="0098439C">
            <w:r>
              <w:t>5.5.3 Employer (WBL)</w:t>
            </w:r>
          </w:p>
        </w:tc>
        <w:tc>
          <w:tcPr>
            <w:tcW w:w="9838" w:type="dxa"/>
            <w:shd w:val="clear" w:color="auto" w:fill="F2F2F2" w:themeFill="background1" w:themeFillShade="F2"/>
          </w:tcPr>
          <w:p w14:paraId="0B5CA04A" w14:textId="77777777" w:rsidR="00B77B54" w:rsidRDefault="00B77B54" w:rsidP="0098439C">
            <w:r>
              <w:t xml:space="preserve">Where appropriate, the learners respond to feedback from their work-place supervisors.  </w:t>
            </w:r>
          </w:p>
          <w:p w14:paraId="49A597B7" w14:textId="7B7DDEAB" w:rsidR="00B77B54" w:rsidRPr="004906C1" w:rsidRDefault="00B77B54" w:rsidP="0098439C">
            <w:r>
              <w:t xml:space="preserve">Learners and tutors are fully aware of work-related attainment and use this to influence target setting. </w:t>
            </w:r>
          </w:p>
        </w:tc>
      </w:tr>
    </w:tbl>
    <w:p w14:paraId="764B6947" w14:textId="0F329A33" w:rsidR="00A635AB" w:rsidRPr="00FF0957" w:rsidRDefault="00A635AB" w:rsidP="00610941">
      <w:pPr>
        <w:spacing w:before="240"/>
      </w:pPr>
    </w:p>
    <w:sectPr w:rsidR="00A635AB" w:rsidRPr="00FF0957" w:rsidSect="008E79FC">
      <w:headerReference w:type="default" r:id="rId8"/>
      <w:footerReference w:type="default" r:id="rId9"/>
      <w:pgSz w:w="16838" w:h="11906" w:orient="landscape"/>
      <w:pgMar w:top="1560" w:right="1106" w:bottom="1134" w:left="1440" w:header="28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A822" w14:textId="77777777" w:rsidR="00A7115D" w:rsidRDefault="00A7115D" w:rsidP="009C2707">
      <w:r>
        <w:separator/>
      </w:r>
    </w:p>
  </w:endnote>
  <w:endnote w:type="continuationSeparator" w:id="0">
    <w:p w14:paraId="385D4826" w14:textId="77777777" w:rsidR="00A7115D" w:rsidRDefault="00A7115D" w:rsidP="009C2707">
      <w:r>
        <w:continuationSeparator/>
      </w:r>
    </w:p>
  </w:endnote>
  <w:endnote w:type="continuationNotice" w:id="1">
    <w:p w14:paraId="0620B2B1" w14:textId="77777777" w:rsidR="00A7115D" w:rsidRDefault="00A711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3A5F" w14:textId="235527B3" w:rsidR="00765D04" w:rsidRPr="0041745F" w:rsidRDefault="00ED0773" w:rsidP="00765D04">
    <w:pPr>
      <w:pStyle w:val="Footer"/>
      <w:ind w:right="141"/>
      <w:jc w:val="right"/>
      <w:rPr>
        <w:noProof/>
        <w:sz w:val="14"/>
      </w:rPr>
    </w:pPr>
    <w:r>
      <w:rPr>
        <w:noProof/>
        <w:sz w:val="16"/>
      </w:rPr>
      <w:drawing>
        <wp:anchor distT="0" distB="0" distL="114300" distR="114300" simplePos="0" relativeHeight="251659264" behindDoc="0" locked="0" layoutInCell="1" allowOverlap="1" wp14:anchorId="4A6786D9" wp14:editId="00AD0927">
          <wp:simplePos x="0" y="0"/>
          <wp:positionH relativeFrom="column">
            <wp:posOffset>-247106</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243BE7" w:rsidRPr="00243BE7">
      <w:rPr>
        <w:noProof/>
        <w:sz w:val="14"/>
      </w:rPr>
      <w:t>Format</w:t>
    </w:r>
    <w:r w:rsidR="005B15A8" w:rsidRPr="00243BE7">
      <w:rPr>
        <w:noProof/>
        <w:sz w:val="14"/>
      </w:rPr>
      <w:t xml:space="preserve"> </w:t>
    </w:r>
    <w:r w:rsidR="00765D04" w:rsidRPr="0041745F">
      <w:rPr>
        <w:noProof/>
        <w:sz w:val="12"/>
        <w:szCs w:val="12"/>
      </w:rPr>
      <w:t>©</w:t>
    </w:r>
    <w:r w:rsidR="00765D04" w:rsidRPr="0041745F">
      <w:rPr>
        <w:noProof/>
        <w:sz w:val="14"/>
      </w:rPr>
      <w:t xml:space="preserve"> Tony Davis 2011</w:t>
    </w:r>
  </w:p>
  <w:p w14:paraId="088E39E3" w14:textId="77777777" w:rsidR="00765D04" w:rsidRDefault="00A7115D" w:rsidP="00765D04">
    <w:pPr>
      <w:pStyle w:val="Footer"/>
      <w:ind w:right="141"/>
      <w:jc w:val="right"/>
    </w:pPr>
    <w:hyperlink r:id="rId2" w:history="1">
      <w:r w:rsidR="00765D04" w:rsidRPr="0041745F">
        <w:rPr>
          <w:rStyle w:val="Hyperlink"/>
          <w:noProof/>
          <w:sz w:val="16"/>
        </w:rPr>
        <w:t>www.ccqi.org.uk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F1F6" w14:textId="77777777" w:rsidR="00A7115D" w:rsidRDefault="00A7115D" w:rsidP="009C2707">
      <w:r>
        <w:separator/>
      </w:r>
    </w:p>
  </w:footnote>
  <w:footnote w:type="continuationSeparator" w:id="0">
    <w:p w14:paraId="65984D8A" w14:textId="77777777" w:rsidR="00A7115D" w:rsidRDefault="00A7115D" w:rsidP="009C2707">
      <w:r>
        <w:continuationSeparator/>
      </w:r>
    </w:p>
  </w:footnote>
  <w:footnote w:type="continuationNotice" w:id="1">
    <w:p w14:paraId="1C5E3986" w14:textId="77777777" w:rsidR="00A7115D" w:rsidRDefault="00A711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09B1" w14:textId="48689548" w:rsidR="009060E7" w:rsidRDefault="00093A41" w:rsidP="006F108A">
    <w:pPr>
      <w:pStyle w:val="Heading1"/>
    </w:pPr>
    <w:r w:rsidRPr="00093A41">
      <w:t>NPT</w:t>
    </w:r>
    <w:r w:rsidR="004C0CCA">
      <w:t>C</w:t>
    </w:r>
    <w:r w:rsidRPr="00093A41">
      <w:t xml:space="preserve"> Group</w:t>
    </w:r>
    <w:r>
      <w:tab/>
    </w:r>
    <w:r>
      <w:tab/>
    </w:r>
    <w:r>
      <w:tab/>
    </w:r>
    <w:r w:rsidR="009060E7">
      <w:t>Quality Standard</w:t>
    </w:r>
    <w:r w:rsidR="004C0CCA">
      <w:t xml:space="preserve"> for review &amp; staff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383"/>
    <w:multiLevelType w:val="hybridMultilevel"/>
    <w:tmpl w:val="680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66C4"/>
    <w:multiLevelType w:val="multilevel"/>
    <w:tmpl w:val="715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78B0"/>
    <w:multiLevelType w:val="hybridMultilevel"/>
    <w:tmpl w:val="9DBC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730"/>
    <w:multiLevelType w:val="multilevel"/>
    <w:tmpl w:val="46E0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E6113"/>
    <w:multiLevelType w:val="multilevel"/>
    <w:tmpl w:val="B67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F6966"/>
    <w:multiLevelType w:val="hybridMultilevel"/>
    <w:tmpl w:val="16308C40"/>
    <w:lvl w:ilvl="0" w:tplc="08090001">
      <w:start w:val="1"/>
      <w:numFmt w:val="bullet"/>
      <w:lvlText w:val=""/>
      <w:lvlJc w:val="left"/>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6" w15:restartNumberingAfterBreak="0">
    <w:nsid w:val="13C3557C"/>
    <w:multiLevelType w:val="hybridMultilevel"/>
    <w:tmpl w:val="576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419C9"/>
    <w:multiLevelType w:val="hybridMultilevel"/>
    <w:tmpl w:val="E9AC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03B01"/>
    <w:multiLevelType w:val="multilevel"/>
    <w:tmpl w:val="8E8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57EF7"/>
    <w:multiLevelType w:val="multilevel"/>
    <w:tmpl w:val="1C78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52B8"/>
    <w:multiLevelType w:val="multilevel"/>
    <w:tmpl w:val="4F8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22927"/>
    <w:multiLevelType w:val="multilevel"/>
    <w:tmpl w:val="DA9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17D1B"/>
    <w:multiLevelType w:val="multilevel"/>
    <w:tmpl w:val="8A4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B0FE9"/>
    <w:multiLevelType w:val="hybridMultilevel"/>
    <w:tmpl w:val="246C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56C09"/>
    <w:multiLevelType w:val="multilevel"/>
    <w:tmpl w:val="A39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95B55"/>
    <w:multiLevelType w:val="hybridMultilevel"/>
    <w:tmpl w:val="21F8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7385"/>
    <w:multiLevelType w:val="multilevel"/>
    <w:tmpl w:val="2FA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4428F"/>
    <w:multiLevelType w:val="multilevel"/>
    <w:tmpl w:val="4B2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51BCE"/>
    <w:multiLevelType w:val="multilevel"/>
    <w:tmpl w:val="A2A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75E13"/>
    <w:multiLevelType w:val="multilevel"/>
    <w:tmpl w:val="7E60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4522F"/>
    <w:multiLevelType w:val="multilevel"/>
    <w:tmpl w:val="454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27421"/>
    <w:multiLevelType w:val="multilevel"/>
    <w:tmpl w:val="DD4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914BB"/>
    <w:multiLevelType w:val="multilevel"/>
    <w:tmpl w:val="12604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623AC2"/>
    <w:multiLevelType w:val="multilevel"/>
    <w:tmpl w:val="C21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94512"/>
    <w:multiLevelType w:val="multilevel"/>
    <w:tmpl w:val="06BC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258CC"/>
    <w:multiLevelType w:val="hybridMultilevel"/>
    <w:tmpl w:val="8BEE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C6F78"/>
    <w:multiLevelType w:val="multilevel"/>
    <w:tmpl w:val="18CE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870AFA"/>
    <w:multiLevelType w:val="multilevel"/>
    <w:tmpl w:val="A06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41392E"/>
    <w:multiLevelType w:val="multilevel"/>
    <w:tmpl w:val="B0A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C736F"/>
    <w:multiLevelType w:val="multilevel"/>
    <w:tmpl w:val="9482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2238C"/>
    <w:multiLevelType w:val="multilevel"/>
    <w:tmpl w:val="EDD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26D31"/>
    <w:multiLevelType w:val="multilevel"/>
    <w:tmpl w:val="A4C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B93A5F"/>
    <w:multiLevelType w:val="hybridMultilevel"/>
    <w:tmpl w:val="0D00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1"/>
  </w:num>
  <w:num w:numId="4">
    <w:abstractNumId w:val="21"/>
  </w:num>
  <w:num w:numId="5">
    <w:abstractNumId w:val="28"/>
  </w:num>
  <w:num w:numId="6">
    <w:abstractNumId w:val="12"/>
  </w:num>
  <w:num w:numId="7">
    <w:abstractNumId w:val="26"/>
  </w:num>
  <w:num w:numId="8">
    <w:abstractNumId w:val="16"/>
  </w:num>
  <w:num w:numId="9">
    <w:abstractNumId w:val="29"/>
  </w:num>
  <w:num w:numId="10">
    <w:abstractNumId w:val="3"/>
  </w:num>
  <w:num w:numId="11">
    <w:abstractNumId w:val="9"/>
  </w:num>
  <w:num w:numId="12">
    <w:abstractNumId w:val="31"/>
  </w:num>
  <w:num w:numId="13">
    <w:abstractNumId w:val="27"/>
  </w:num>
  <w:num w:numId="14">
    <w:abstractNumId w:val="14"/>
  </w:num>
  <w:num w:numId="15">
    <w:abstractNumId w:val="24"/>
  </w:num>
  <w:num w:numId="16">
    <w:abstractNumId w:val="20"/>
  </w:num>
  <w:num w:numId="17">
    <w:abstractNumId w:val="19"/>
  </w:num>
  <w:num w:numId="18">
    <w:abstractNumId w:val="23"/>
  </w:num>
  <w:num w:numId="19">
    <w:abstractNumId w:val="1"/>
  </w:num>
  <w:num w:numId="20">
    <w:abstractNumId w:val="2"/>
  </w:num>
  <w:num w:numId="21">
    <w:abstractNumId w:val="8"/>
  </w:num>
  <w:num w:numId="22">
    <w:abstractNumId w:val="4"/>
  </w:num>
  <w:num w:numId="23">
    <w:abstractNumId w:val="30"/>
  </w:num>
  <w:num w:numId="24">
    <w:abstractNumId w:val="18"/>
  </w:num>
  <w:num w:numId="25">
    <w:abstractNumId w:val="22"/>
  </w:num>
  <w:num w:numId="26">
    <w:abstractNumId w:val="15"/>
  </w:num>
  <w:num w:numId="27">
    <w:abstractNumId w:val="0"/>
  </w:num>
  <w:num w:numId="28">
    <w:abstractNumId w:val="6"/>
  </w:num>
  <w:num w:numId="29">
    <w:abstractNumId w:val="13"/>
  </w:num>
  <w:num w:numId="30">
    <w:abstractNumId w:val="5"/>
  </w:num>
  <w:num w:numId="31">
    <w:abstractNumId w:val="7"/>
  </w:num>
  <w:num w:numId="32">
    <w:abstractNumId w:val="2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E1"/>
    <w:rsid w:val="00000B67"/>
    <w:rsid w:val="00005DDC"/>
    <w:rsid w:val="00012980"/>
    <w:rsid w:val="00014A58"/>
    <w:rsid w:val="0002525F"/>
    <w:rsid w:val="000279DB"/>
    <w:rsid w:val="00040E31"/>
    <w:rsid w:val="000556EB"/>
    <w:rsid w:val="00090AD7"/>
    <w:rsid w:val="00093A41"/>
    <w:rsid w:val="00096903"/>
    <w:rsid w:val="000A03C7"/>
    <w:rsid w:val="000B7F87"/>
    <w:rsid w:val="000C35D1"/>
    <w:rsid w:val="000C3C11"/>
    <w:rsid w:val="000C5674"/>
    <w:rsid w:val="000D1387"/>
    <w:rsid w:val="000D2A9F"/>
    <w:rsid w:val="000D61F9"/>
    <w:rsid w:val="000D7202"/>
    <w:rsid w:val="000E2569"/>
    <w:rsid w:val="000E49DB"/>
    <w:rsid w:val="000F1A02"/>
    <w:rsid w:val="000F6D04"/>
    <w:rsid w:val="000F76AA"/>
    <w:rsid w:val="00101B0D"/>
    <w:rsid w:val="001065E0"/>
    <w:rsid w:val="00107A70"/>
    <w:rsid w:val="00113673"/>
    <w:rsid w:val="00121374"/>
    <w:rsid w:val="0012708A"/>
    <w:rsid w:val="001401BC"/>
    <w:rsid w:val="00150289"/>
    <w:rsid w:val="00156088"/>
    <w:rsid w:val="0015718A"/>
    <w:rsid w:val="00170B0D"/>
    <w:rsid w:val="00175107"/>
    <w:rsid w:val="00175BAA"/>
    <w:rsid w:val="0018025C"/>
    <w:rsid w:val="001854B3"/>
    <w:rsid w:val="00187E8A"/>
    <w:rsid w:val="00192FC5"/>
    <w:rsid w:val="001943A6"/>
    <w:rsid w:val="00194C5F"/>
    <w:rsid w:val="001A0335"/>
    <w:rsid w:val="001C4F86"/>
    <w:rsid w:val="001D0C28"/>
    <w:rsid w:val="001D2379"/>
    <w:rsid w:val="001E1446"/>
    <w:rsid w:val="001E492D"/>
    <w:rsid w:val="001E4AB8"/>
    <w:rsid w:val="001E6674"/>
    <w:rsid w:val="001F52A9"/>
    <w:rsid w:val="00207404"/>
    <w:rsid w:val="002171A2"/>
    <w:rsid w:val="0022276E"/>
    <w:rsid w:val="0023088B"/>
    <w:rsid w:val="00235EC4"/>
    <w:rsid w:val="00243855"/>
    <w:rsid w:val="00243BE7"/>
    <w:rsid w:val="00243D0E"/>
    <w:rsid w:val="00244E7E"/>
    <w:rsid w:val="0024723A"/>
    <w:rsid w:val="00260BCA"/>
    <w:rsid w:val="00261F37"/>
    <w:rsid w:val="002656A8"/>
    <w:rsid w:val="00281631"/>
    <w:rsid w:val="00281DBB"/>
    <w:rsid w:val="00282726"/>
    <w:rsid w:val="002966DE"/>
    <w:rsid w:val="00296873"/>
    <w:rsid w:val="0029704B"/>
    <w:rsid w:val="002A2D4D"/>
    <w:rsid w:val="002A7D69"/>
    <w:rsid w:val="002C6201"/>
    <w:rsid w:val="002D7599"/>
    <w:rsid w:val="002F46DC"/>
    <w:rsid w:val="0030017D"/>
    <w:rsid w:val="00314EE5"/>
    <w:rsid w:val="003154FC"/>
    <w:rsid w:val="00316D4E"/>
    <w:rsid w:val="0031762F"/>
    <w:rsid w:val="00317FCC"/>
    <w:rsid w:val="00325AB4"/>
    <w:rsid w:val="00340758"/>
    <w:rsid w:val="00342E6D"/>
    <w:rsid w:val="00346DE1"/>
    <w:rsid w:val="00350746"/>
    <w:rsid w:val="003560C9"/>
    <w:rsid w:val="00362A87"/>
    <w:rsid w:val="003653BC"/>
    <w:rsid w:val="00366157"/>
    <w:rsid w:val="00373505"/>
    <w:rsid w:val="00375B85"/>
    <w:rsid w:val="00380261"/>
    <w:rsid w:val="00384D5D"/>
    <w:rsid w:val="00390D05"/>
    <w:rsid w:val="0039189E"/>
    <w:rsid w:val="0039228B"/>
    <w:rsid w:val="003A58C0"/>
    <w:rsid w:val="003B076B"/>
    <w:rsid w:val="003C07CF"/>
    <w:rsid w:val="003C4226"/>
    <w:rsid w:val="003D08A9"/>
    <w:rsid w:val="003D10BA"/>
    <w:rsid w:val="003E3C45"/>
    <w:rsid w:val="003E4794"/>
    <w:rsid w:val="003F2C36"/>
    <w:rsid w:val="003F49C8"/>
    <w:rsid w:val="00400896"/>
    <w:rsid w:val="00407C01"/>
    <w:rsid w:val="00420451"/>
    <w:rsid w:val="0043080B"/>
    <w:rsid w:val="0044793E"/>
    <w:rsid w:val="00463407"/>
    <w:rsid w:val="00466987"/>
    <w:rsid w:val="004707AF"/>
    <w:rsid w:val="00472C15"/>
    <w:rsid w:val="00486B9B"/>
    <w:rsid w:val="004875F4"/>
    <w:rsid w:val="004906C1"/>
    <w:rsid w:val="00494C37"/>
    <w:rsid w:val="00496D2A"/>
    <w:rsid w:val="004A17C6"/>
    <w:rsid w:val="004A590A"/>
    <w:rsid w:val="004B218E"/>
    <w:rsid w:val="004C0CCA"/>
    <w:rsid w:val="004C0F0C"/>
    <w:rsid w:val="004C3BF3"/>
    <w:rsid w:val="004C7478"/>
    <w:rsid w:val="004D2DA7"/>
    <w:rsid w:val="004D43C0"/>
    <w:rsid w:val="004D4917"/>
    <w:rsid w:val="004E03FD"/>
    <w:rsid w:val="004F09B4"/>
    <w:rsid w:val="004F1927"/>
    <w:rsid w:val="004F7942"/>
    <w:rsid w:val="00502EDC"/>
    <w:rsid w:val="005134D7"/>
    <w:rsid w:val="0052505D"/>
    <w:rsid w:val="00532CF2"/>
    <w:rsid w:val="00536DF5"/>
    <w:rsid w:val="005377D7"/>
    <w:rsid w:val="005421FF"/>
    <w:rsid w:val="005427E5"/>
    <w:rsid w:val="00546CA6"/>
    <w:rsid w:val="00547391"/>
    <w:rsid w:val="00550A65"/>
    <w:rsid w:val="00551532"/>
    <w:rsid w:val="00561F72"/>
    <w:rsid w:val="00587116"/>
    <w:rsid w:val="005A7D3D"/>
    <w:rsid w:val="005B09AF"/>
    <w:rsid w:val="005B15A8"/>
    <w:rsid w:val="005B278A"/>
    <w:rsid w:val="005B3D3A"/>
    <w:rsid w:val="005B61A7"/>
    <w:rsid w:val="005C18C2"/>
    <w:rsid w:val="005D4513"/>
    <w:rsid w:val="005D7C8B"/>
    <w:rsid w:val="005E0F81"/>
    <w:rsid w:val="005E127D"/>
    <w:rsid w:val="005F153E"/>
    <w:rsid w:val="005F1702"/>
    <w:rsid w:val="00603050"/>
    <w:rsid w:val="006030D2"/>
    <w:rsid w:val="00605C67"/>
    <w:rsid w:val="00610941"/>
    <w:rsid w:val="006120FA"/>
    <w:rsid w:val="00634875"/>
    <w:rsid w:val="00644CCE"/>
    <w:rsid w:val="0065016B"/>
    <w:rsid w:val="00654ECD"/>
    <w:rsid w:val="006616AD"/>
    <w:rsid w:val="00674BD0"/>
    <w:rsid w:val="00684B57"/>
    <w:rsid w:val="006919A6"/>
    <w:rsid w:val="006B12B5"/>
    <w:rsid w:val="006B6300"/>
    <w:rsid w:val="006C491C"/>
    <w:rsid w:val="006C4BAD"/>
    <w:rsid w:val="006C5D05"/>
    <w:rsid w:val="006C71FF"/>
    <w:rsid w:val="006D7258"/>
    <w:rsid w:val="006E1470"/>
    <w:rsid w:val="006E5B17"/>
    <w:rsid w:val="006E7EDC"/>
    <w:rsid w:val="006F108A"/>
    <w:rsid w:val="006F16EC"/>
    <w:rsid w:val="006F2E1E"/>
    <w:rsid w:val="00707D5E"/>
    <w:rsid w:val="00710B79"/>
    <w:rsid w:val="007330DC"/>
    <w:rsid w:val="007349FC"/>
    <w:rsid w:val="00744BA4"/>
    <w:rsid w:val="00765D04"/>
    <w:rsid w:val="0077291E"/>
    <w:rsid w:val="007758D5"/>
    <w:rsid w:val="007809FF"/>
    <w:rsid w:val="00783E8F"/>
    <w:rsid w:val="00786FBE"/>
    <w:rsid w:val="00787321"/>
    <w:rsid w:val="00796546"/>
    <w:rsid w:val="00797B37"/>
    <w:rsid w:val="007A2377"/>
    <w:rsid w:val="007A3A95"/>
    <w:rsid w:val="007B25B5"/>
    <w:rsid w:val="007B2BE0"/>
    <w:rsid w:val="007D10D7"/>
    <w:rsid w:val="007E28D1"/>
    <w:rsid w:val="007F2CAD"/>
    <w:rsid w:val="007F467B"/>
    <w:rsid w:val="00825163"/>
    <w:rsid w:val="0083314E"/>
    <w:rsid w:val="00833596"/>
    <w:rsid w:val="00840E09"/>
    <w:rsid w:val="00847DA3"/>
    <w:rsid w:val="00854BC7"/>
    <w:rsid w:val="008637EC"/>
    <w:rsid w:val="00870434"/>
    <w:rsid w:val="00874E58"/>
    <w:rsid w:val="0087719B"/>
    <w:rsid w:val="00883B75"/>
    <w:rsid w:val="00885E6C"/>
    <w:rsid w:val="00890336"/>
    <w:rsid w:val="00893D81"/>
    <w:rsid w:val="008969BC"/>
    <w:rsid w:val="008A4DAB"/>
    <w:rsid w:val="008B0583"/>
    <w:rsid w:val="008B690D"/>
    <w:rsid w:val="008C3A0E"/>
    <w:rsid w:val="008D3132"/>
    <w:rsid w:val="008D33C9"/>
    <w:rsid w:val="008D6074"/>
    <w:rsid w:val="008E79FC"/>
    <w:rsid w:val="008F1C4E"/>
    <w:rsid w:val="00901F7F"/>
    <w:rsid w:val="009060E7"/>
    <w:rsid w:val="009077EE"/>
    <w:rsid w:val="00914EBF"/>
    <w:rsid w:val="009201C2"/>
    <w:rsid w:val="00920575"/>
    <w:rsid w:val="00920AAE"/>
    <w:rsid w:val="00926DBD"/>
    <w:rsid w:val="00933BAC"/>
    <w:rsid w:val="00947A82"/>
    <w:rsid w:val="00955081"/>
    <w:rsid w:val="009563CD"/>
    <w:rsid w:val="0096145A"/>
    <w:rsid w:val="00965D84"/>
    <w:rsid w:val="00966DC2"/>
    <w:rsid w:val="00971CC8"/>
    <w:rsid w:val="0098423A"/>
    <w:rsid w:val="0098439C"/>
    <w:rsid w:val="00986041"/>
    <w:rsid w:val="009A6BC6"/>
    <w:rsid w:val="009A71A3"/>
    <w:rsid w:val="009C02D7"/>
    <w:rsid w:val="009C1BB1"/>
    <w:rsid w:val="009C2707"/>
    <w:rsid w:val="009D2F25"/>
    <w:rsid w:val="009D355F"/>
    <w:rsid w:val="009D6DFB"/>
    <w:rsid w:val="009D7A53"/>
    <w:rsid w:val="009E1A36"/>
    <w:rsid w:val="009E4759"/>
    <w:rsid w:val="009F6523"/>
    <w:rsid w:val="00A05A45"/>
    <w:rsid w:val="00A228AB"/>
    <w:rsid w:val="00A2608B"/>
    <w:rsid w:val="00A3094C"/>
    <w:rsid w:val="00A31730"/>
    <w:rsid w:val="00A42615"/>
    <w:rsid w:val="00A51932"/>
    <w:rsid w:val="00A5269D"/>
    <w:rsid w:val="00A635AB"/>
    <w:rsid w:val="00A67FDE"/>
    <w:rsid w:val="00A7115D"/>
    <w:rsid w:val="00A74A39"/>
    <w:rsid w:val="00A832D2"/>
    <w:rsid w:val="00A83800"/>
    <w:rsid w:val="00A84F40"/>
    <w:rsid w:val="00A863B0"/>
    <w:rsid w:val="00A917E7"/>
    <w:rsid w:val="00AB1C8E"/>
    <w:rsid w:val="00AB4276"/>
    <w:rsid w:val="00AD54C4"/>
    <w:rsid w:val="00AE3CB3"/>
    <w:rsid w:val="00B01A50"/>
    <w:rsid w:val="00B111CD"/>
    <w:rsid w:val="00B11931"/>
    <w:rsid w:val="00B45929"/>
    <w:rsid w:val="00B51237"/>
    <w:rsid w:val="00B53896"/>
    <w:rsid w:val="00B54729"/>
    <w:rsid w:val="00B657B3"/>
    <w:rsid w:val="00B7279F"/>
    <w:rsid w:val="00B7396C"/>
    <w:rsid w:val="00B758D0"/>
    <w:rsid w:val="00B77B54"/>
    <w:rsid w:val="00B95CFB"/>
    <w:rsid w:val="00BB0EE4"/>
    <w:rsid w:val="00BC0B5E"/>
    <w:rsid w:val="00BD7E52"/>
    <w:rsid w:val="00BE55C9"/>
    <w:rsid w:val="00C01D24"/>
    <w:rsid w:val="00C05192"/>
    <w:rsid w:val="00C10663"/>
    <w:rsid w:val="00C14BF4"/>
    <w:rsid w:val="00C26C79"/>
    <w:rsid w:val="00C60F85"/>
    <w:rsid w:val="00C62135"/>
    <w:rsid w:val="00C71B15"/>
    <w:rsid w:val="00C84F8A"/>
    <w:rsid w:val="00C8632A"/>
    <w:rsid w:val="00C9596D"/>
    <w:rsid w:val="00CA0829"/>
    <w:rsid w:val="00CA2155"/>
    <w:rsid w:val="00CB0FAD"/>
    <w:rsid w:val="00CC29EC"/>
    <w:rsid w:val="00CC6D7E"/>
    <w:rsid w:val="00CD3BF8"/>
    <w:rsid w:val="00CD7A4C"/>
    <w:rsid w:val="00CE27B9"/>
    <w:rsid w:val="00CE2DF7"/>
    <w:rsid w:val="00CE73B4"/>
    <w:rsid w:val="00D00E0D"/>
    <w:rsid w:val="00D059D9"/>
    <w:rsid w:val="00D1316A"/>
    <w:rsid w:val="00D133F7"/>
    <w:rsid w:val="00D20BDD"/>
    <w:rsid w:val="00D221C4"/>
    <w:rsid w:val="00D27262"/>
    <w:rsid w:val="00D333CC"/>
    <w:rsid w:val="00D3349E"/>
    <w:rsid w:val="00D33CD9"/>
    <w:rsid w:val="00D53D78"/>
    <w:rsid w:val="00D560C3"/>
    <w:rsid w:val="00D6321F"/>
    <w:rsid w:val="00D710D6"/>
    <w:rsid w:val="00D75EF0"/>
    <w:rsid w:val="00D81DEC"/>
    <w:rsid w:val="00DB18F8"/>
    <w:rsid w:val="00DB2440"/>
    <w:rsid w:val="00DB725D"/>
    <w:rsid w:val="00DD2678"/>
    <w:rsid w:val="00DD2CC4"/>
    <w:rsid w:val="00DE043E"/>
    <w:rsid w:val="00DE3388"/>
    <w:rsid w:val="00DF1BC6"/>
    <w:rsid w:val="00DF3CC9"/>
    <w:rsid w:val="00DF3FFB"/>
    <w:rsid w:val="00DF6390"/>
    <w:rsid w:val="00E0044B"/>
    <w:rsid w:val="00E1702F"/>
    <w:rsid w:val="00E23EC4"/>
    <w:rsid w:val="00E24140"/>
    <w:rsid w:val="00E32E5C"/>
    <w:rsid w:val="00E40116"/>
    <w:rsid w:val="00E53E26"/>
    <w:rsid w:val="00E67397"/>
    <w:rsid w:val="00E6785D"/>
    <w:rsid w:val="00E93A73"/>
    <w:rsid w:val="00EA3177"/>
    <w:rsid w:val="00EB2ED7"/>
    <w:rsid w:val="00ED0773"/>
    <w:rsid w:val="00ED6E32"/>
    <w:rsid w:val="00ED7E5F"/>
    <w:rsid w:val="00EE27D5"/>
    <w:rsid w:val="00EE749C"/>
    <w:rsid w:val="00EF5B94"/>
    <w:rsid w:val="00F02280"/>
    <w:rsid w:val="00F2366D"/>
    <w:rsid w:val="00F25F58"/>
    <w:rsid w:val="00F27DD8"/>
    <w:rsid w:val="00F34708"/>
    <w:rsid w:val="00F37265"/>
    <w:rsid w:val="00F40BE1"/>
    <w:rsid w:val="00F71126"/>
    <w:rsid w:val="00F72AC7"/>
    <w:rsid w:val="00F73E63"/>
    <w:rsid w:val="00F83B9A"/>
    <w:rsid w:val="00F928C9"/>
    <w:rsid w:val="00F95587"/>
    <w:rsid w:val="00F95D86"/>
    <w:rsid w:val="00FC0445"/>
    <w:rsid w:val="00FC0755"/>
    <w:rsid w:val="00FD3876"/>
    <w:rsid w:val="00FE15FB"/>
    <w:rsid w:val="00FE4731"/>
    <w:rsid w:val="00FE4995"/>
    <w:rsid w:val="00FE6F1C"/>
    <w:rsid w:val="00FF0957"/>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68CED"/>
  <w15:docId w15:val="{8DE05921-3D8F-44BF-A662-2A643A50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73"/>
    <w:pPr>
      <w:spacing w:before="40" w:after="60"/>
    </w:pPr>
    <w:rPr>
      <w:rFonts w:ascii="Open Sans" w:hAnsi="Open Sans"/>
      <w:szCs w:val="24"/>
    </w:rPr>
  </w:style>
  <w:style w:type="paragraph" w:styleId="Heading1">
    <w:name w:val="heading 1"/>
    <w:aliases w:val="TD Heading 1"/>
    <w:basedOn w:val="Normal"/>
    <w:next w:val="Normal"/>
    <w:link w:val="Heading1Char"/>
    <w:uiPriority w:val="9"/>
    <w:qFormat/>
    <w:rsid w:val="009060E7"/>
    <w:pPr>
      <w:keepNext/>
      <w:spacing w:before="240"/>
      <w:outlineLvl w:val="0"/>
    </w:pPr>
    <w:rPr>
      <w:rFonts w:eastAsiaTheme="majorEastAsia" w:cstheme="majorBidi"/>
      <w:bCs/>
      <w:color w:val="0070C0"/>
      <w:kern w:val="32"/>
      <w:sz w:val="32"/>
      <w:szCs w:val="32"/>
    </w:rPr>
  </w:style>
  <w:style w:type="paragraph" w:styleId="Heading2">
    <w:name w:val="heading 2"/>
    <w:aliases w:val="TD Heading 2"/>
    <w:basedOn w:val="Normal"/>
    <w:next w:val="Normal"/>
    <w:link w:val="Heading2Char"/>
    <w:autoRedefine/>
    <w:uiPriority w:val="9"/>
    <w:qFormat/>
    <w:rsid w:val="005B15A8"/>
    <w:pPr>
      <w:keepNext/>
      <w:jc w:val="both"/>
      <w:outlineLvl w:val="1"/>
    </w:pPr>
    <w:rPr>
      <w:rFonts w:ascii="Cambria" w:hAnsi="Cambria" w:cs="Tahoma"/>
      <w:b/>
      <w:color w:val="7030A0"/>
      <w:sz w:val="28"/>
      <w:szCs w:val="18"/>
    </w:rPr>
  </w:style>
  <w:style w:type="paragraph" w:styleId="Heading3">
    <w:name w:val="heading 3"/>
    <w:aliases w:val="TD Heading 3"/>
    <w:basedOn w:val="Normal"/>
    <w:next w:val="Normal"/>
    <w:link w:val="Heading3Char"/>
    <w:qFormat/>
    <w:rsid w:val="00373505"/>
    <w:pPr>
      <w:keepNext/>
      <w:jc w:val="both"/>
      <w:outlineLvl w:val="2"/>
    </w:pPr>
    <w:rPr>
      <w:rFonts w:ascii="Cambria" w:hAnsi="Cambria" w:cs="Tahoma"/>
      <w:b/>
      <w:color w:val="0070C0"/>
      <w:sz w:val="24"/>
      <w:szCs w:val="18"/>
    </w:rPr>
  </w:style>
  <w:style w:type="paragraph" w:styleId="Heading4">
    <w:name w:val="heading 4"/>
    <w:basedOn w:val="Normal"/>
    <w:next w:val="Normal"/>
    <w:link w:val="Heading4Char"/>
    <w:qFormat/>
    <w:rsid w:val="001943A6"/>
    <w:pPr>
      <w:keepNext/>
      <w:jc w:val="both"/>
      <w:outlineLvl w:val="3"/>
    </w:pPr>
    <w:rPr>
      <w:b/>
      <w:color w:val="5F497A" w:themeColor="accent4" w:themeShade="BF"/>
    </w:rPr>
  </w:style>
  <w:style w:type="paragraph" w:styleId="Heading5">
    <w:name w:val="heading 5"/>
    <w:basedOn w:val="Normal"/>
    <w:next w:val="Normal"/>
    <w:link w:val="Heading5Char"/>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373505"/>
    <w:rPr>
      <w:rFonts w:ascii="Cambria" w:hAnsi="Cambria" w:cs="Tahoma"/>
      <w:b/>
      <w:color w:val="0070C0"/>
      <w:sz w:val="24"/>
      <w:szCs w:val="18"/>
    </w:rPr>
  </w:style>
  <w:style w:type="character" w:customStyle="1" w:styleId="Heading2Char">
    <w:name w:val="Heading 2 Char"/>
    <w:aliases w:val="TD Heading 2 Char"/>
    <w:link w:val="Heading2"/>
    <w:uiPriority w:val="9"/>
    <w:rsid w:val="005B15A8"/>
    <w:rPr>
      <w:rFonts w:ascii="Cambria" w:hAnsi="Cambria" w:cs="Tahoma"/>
      <w:b/>
      <w:color w:val="7030A0"/>
      <w:sz w:val="28"/>
      <w:szCs w:val="18"/>
    </w:rPr>
  </w:style>
  <w:style w:type="character" w:customStyle="1" w:styleId="Heading1Char">
    <w:name w:val="Heading 1 Char"/>
    <w:aliases w:val="TD Heading 1 Char"/>
    <w:basedOn w:val="DefaultParagraphFont"/>
    <w:link w:val="Heading1"/>
    <w:uiPriority w:val="9"/>
    <w:rsid w:val="009060E7"/>
    <w:rPr>
      <w:rFonts w:ascii="Open Sans" w:eastAsiaTheme="majorEastAsia" w:hAnsi="Open Sans" w:cstheme="majorBidi"/>
      <w:bCs/>
      <w:color w:val="0070C0"/>
      <w:kern w:val="32"/>
      <w:sz w:val="32"/>
      <w:szCs w:val="32"/>
    </w:rPr>
  </w:style>
  <w:style w:type="character" w:customStyle="1" w:styleId="Heading4Char">
    <w:name w:val="Heading 4 Char"/>
    <w:link w:val="Heading4"/>
    <w:rsid w:val="001943A6"/>
    <w:rPr>
      <w:rFonts w:ascii="Arial" w:hAnsi="Arial"/>
      <w:b/>
      <w:color w:val="5F497A" w:themeColor="accent4" w:themeShade="BF"/>
      <w:szCs w:val="24"/>
    </w:rPr>
  </w:style>
  <w:style w:type="character" w:customStyle="1" w:styleId="Heading5Char">
    <w:name w:val="Heading 5 Char"/>
    <w:basedOn w:val="DefaultParagraphFont"/>
    <w:link w:val="Heading5"/>
    <w:rsid w:val="001943A6"/>
    <w:rPr>
      <w:rFonts w:ascii="Arial" w:eastAsia="Times New Roman" w:hAnsi="Arial"/>
      <w:color w:val="00B0F0"/>
      <w:szCs w:val="24"/>
    </w:rPr>
  </w:style>
  <w:style w:type="paragraph" w:styleId="Title">
    <w:name w:val="Title"/>
    <w:basedOn w:val="Normal"/>
    <w:next w:val="Normal"/>
    <w:link w:val="TitleChar"/>
    <w:autoRedefine/>
    <w:qFormat/>
    <w:rsid w:val="006F108A"/>
    <w:pP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6F108A"/>
    <w:rPr>
      <w:rFonts w:ascii="Open Sans" w:eastAsiaTheme="majorEastAsia" w:hAnsi="Open Sans" w:cstheme="majorBidi"/>
      <w:color w:val="17365D" w:themeColor="text2" w:themeShade="BF"/>
      <w:spacing w:val="5"/>
      <w:kern w:val="28"/>
      <w:sz w:val="52"/>
      <w:szCs w:val="52"/>
    </w:rPr>
  </w:style>
  <w:style w:type="table" w:styleId="TableGrid">
    <w:name w:val="Table Grid"/>
    <w:basedOn w:val="TableNormal"/>
    <w:rsid w:val="00F4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40B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40BE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9"/>
    <w:rsid w:val="00F40B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uiPriority w:val="99"/>
    <w:unhideWhenUsed/>
    <w:rsid w:val="00B11931"/>
    <w:rPr>
      <w:color w:val="0000FF"/>
      <w:u w:val="single"/>
    </w:rPr>
  </w:style>
  <w:style w:type="paragraph" w:styleId="NormalWeb">
    <w:name w:val="Normal (Web)"/>
    <w:basedOn w:val="Normal"/>
    <w:uiPriority w:val="99"/>
    <w:unhideWhenUsed/>
    <w:rsid w:val="00B11931"/>
    <w:pPr>
      <w:spacing w:before="100" w:beforeAutospacing="1" w:after="100" w:afterAutospacing="1"/>
    </w:pPr>
    <w:rPr>
      <w:rFonts w:ascii="Times New Roman" w:hAnsi="Times New Roman"/>
      <w:sz w:val="24"/>
    </w:rPr>
  </w:style>
  <w:style w:type="character" w:customStyle="1" w:styleId="mw-headline">
    <w:name w:val="mw-headline"/>
    <w:basedOn w:val="DefaultParagraphFont"/>
    <w:rsid w:val="00B11931"/>
  </w:style>
  <w:style w:type="character" w:customStyle="1" w:styleId="editsection">
    <w:name w:val="editsection"/>
    <w:basedOn w:val="DefaultParagraphFont"/>
    <w:rsid w:val="00B11931"/>
  </w:style>
  <w:style w:type="paragraph" w:styleId="BalloonText">
    <w:name w:val="Balloon Text"/>
    <w:basedOn w:val="Normal"/>
    <w:link w:val="BalloonTextChar"/>
    <w:rsid w:val="00B11931"/>
    <w:rPr>
      <w:rFonts w:ascii="Tahoma" w:hAnsi="Tahoma" w:cs="Tahoma"/>
      <w:sz w:val="16"/>
      <w:szCs w:val="16"/>
    </w:rPr>
  </w:style>
  <w:style w:type="character" w:customStyle="1" w:styleId="BalloonTextChar">
    <w:name w:val="Balloon Text Char"/>
    <w:basedOn w:val="DefaultParagraphFont"/>
    <w:link w:val="BalloonText"/>
    <w:rsid w:val="00B11931"/>
    <w:rPr>
      <w:rFonts w:ascii="Tahoma" w:hAnsi="Tahoma" w:cs="Tahoma"/>
      <w:sz w:val="16"/>
      <w:szCs w:val="16"/>
    </w:rPr>
  </w:style>
  <w:style w:type="character" w:styleId="Emphasis">
    <w:name w:val="Emphasis"/>
    <w:basedOn w:val="DefaultParagraphFont"/>
    <w:uiPriority w:val="20"/>
    <w:qFormat/>
    <w:rsid w:val="00380261"/>
    <w:rPr>
      <w:i/>
      <w:iCs/>
    </w:rPr>
  </w:style>
  <w:style w:type="character" w:styleId="Strong">
    <w:name w:val="Strong"/>
    <w:basedOn w:val="DefaultParagraphFont"/>
    <w:uiPriority w:val="22"/>
    <w:qFormat/>
    <w:rsid w:val="00380261"/>
    <w:rPr>
      <w:b/>
      <w:bCs/>
    </w:rPr>
  </w:style>
  <w:style w:type="paragraph" w:styleId="Header">
    <w:name w:val="header"/>
    <w:basedOn w:val="Normal"/>
    <w:link w:val="HeaderChar"/>
    <w:rsid w:val="009C2707"/>
    <w:pPr>
      <w:tabs>
        <w:tab w:val="center" w:pos="4513"/>
        <w:tab w:val="right" w:pos="9026"/>
      </w:tabs>
    </w:pPr>
  </w:style>
  <w:style w:type="character" w:customStyle="1" w:styleId="HeaderChar">
    <w:name w:val="Header Char"/>
    <w:basedOn w:val="DefaultParagraphFont"/>
    <w:link w:val="Header"/>
    <w:rsid w:val="009C2707"/>
    <w:rPr>
      <w:rFonts w:ascii="Arial" w:hAnsi="Arial"/>
      <w:szCs w:val="24"/>
    </w:rPr>
  </w:style>
  <w:style w:type="paragraph" w:styleId="Footer">
    <w:name w:val="footer"/>
    <w:basedOn w:val="Normal"/>
    <w:link w:val="FooterChar"/>
    <w:uiPriority w:val="99"/>
    <w:rsid w:val="009C2707"/>
    <w:pPr>
      <w:tabs>
        <w:tab w:val="center" w:pos="4513"/>
        <w:tab w:val="right" w:pos="9026"/>
      </w:tabs>
    </w:pPr>
  </w:style>
  <w:style w:type="character" w:customStyle="1" w:styleId="FooterChar">
    <w:name w:val="Footer Char"/>
    <w:basedOn w:val="DefaultParagraphFont"/>
    <w:link w:val="Footer"/>
    <w:uiPriority w:val="99"/>
    <w:rsid w:val="009C2707"/>
    <w:rPr>
      <w:rFonts w:ascii="Arial" w:hAnsi="Arial"/>
      <w:szCs w:val="24"/>
    </w:rPr>
  </w:style>
  <w:style w:type="paragraph" w:styleId="ListParagraph">
    <w:name w:val="List Paragraph"/>
    <w:basedOn w:val="Normal"/>
    <w:uiPriority w:val="34"/>
    <w:qFormat/>
    <w:rsid w:val="00644CCE"/>
    <w:pPr>
      <w:ind w:left="720"/>
      <w:contextualSpacing/>
    </w:pPr>
  </w:style>
  <w:style w:type="paragraph" w:styleId="FootnoteText">
    <w:name w:val="footnote text"/>
    <w:basedOn w:val="Normal"/>
    <w:link w:val="FootnoteTextChar"/>
    <w:semiHidden/>
    <w:unhideWhenUsed/>
    <w:rsid w:val="00CA0829"/>
    <w:rPr>
      <w:szCs w:val="20"/>
    </w:rPr>
  </w:style>
  <w:style w:type="character" w:customStyle="1" w:styleId="FootnoteTextChar">
    <w:name w:val="Footnote Text Char"/>
    <w:basedOn w:val="DefaultParagraphFont"/>
    <w:link w:val="FootnoteText"/>
    <w:semiHidden/>
    <w:rsid w:val="00CA0829"/>
    <w:rPr>
      <w:rFonts w:ascii="Open Sans" w:hAnsi="Open Sans"/>
    </w:rPr>
  </w:style>
  <w:style w:type="character" w:styleId="FootnoteReference">
    <w:name w:val="footnote reference"/>
    <w:basedOn w:val="DefaultParagraphFont"/>
    <w:semiHidden/>
    <w:unhideWhenUsed/>
    <w:rsid w:val="00CA0829"/>
    <w:rPr>
      <w:vertAlign w:val="superscript"/>
    </w:rPr>
  </w:style>
  <w:style w:type="character" w:styleId="SubtleEmphasis">
    <w:name w:val="Subtle Emphasis"/>
    <w:basedOn w:val="DefaultParagraphFont"/>
    <w:uiPriority w:val="19"/>
    <w:qFormat/>
    <w:rsid w:val="005B15A8"/>
    <w:rPr>
      <w:i/>
      <w:iCs/>
      <w:color w:val="404040" w:themeColor="text1" w:themeTint="BF"/>
    </w:rPr>
  </w:style>
  <w:style w:type="character" w:styleId="CommentReference">
    <w:name w:val="annotation reference"/>
    <w:basedOn w:val="DefaultParagraphFont"/>
    <w:semiHidden/>
    <w:unhideWhenUsed/>
    <w:rsid w:val="00C71B15"/>
    <w:rPr>
      <w:sz w:val="16"/>
      <w:szCs w:val="16"/>
    </w:rPr>
  </w:style>
  <w:style w:type="paragraph" w:styleId="CommentText">
    <w:name w:val="annotation text"/>
    <w:basedOn w:val="Normal"/>
    <w:link w:val="CommentTextChar"/>
    <w:semiHidden/>
    <w:unhideWhenUsed/>
    <w:rsid w:val="00C71B15"/>
    <w:rPr>
      <w:szCs w:val="20"/>
    </w:rPr>
  </w:style>
  <w:style w:type="character" w:customStyle="1" w:styleId="CommentTextChar">
    <w:name w:val="Comment Text Char"/>
    <w:basedOn w:val="DefaultParagraphFont"/>
    <w:link w:val="CommentText"/>
    <w:semiHidden/>
    <w:rsid w:val="00C71B15"/>
    <w:rPr>
      <w:rFonts w:ascii="Open Sans" w:hAnsi="Open Sans"/>
    </w:rPr>
  </w:style>
  <w:style w:type="paragraph" w:styleId="CommentSubject">
    <w:name w:val="annotation subject"/>
    <w:basedOn w:val="CommentText"/>
    <w:next w:val="CommentText"/>
    <w:link w:val="CommentSubjectChar"/>
    <w:semiHidden/>
    <w:unhideWhenUsed/>
    <w:rsid w:val="00C71B15"/>
    <w:rPr>
      <w:b/>
      <w:bCs/>
    </w:rPr>
  </w:style>
  <w:style w:type="character" w:customStyle="1" w:styleId="CommentSubjectChar">
    <w:name w:val="Comment Subject Char"/>
    <w:basedOn w:val="CommentTextChar"/>
    <w:link w:val="CommentSubject"/>
    <w:semiHidden/>
    <w:rsid w:val="00C71B15"/>
    <w:rPr>
      <w:rFonts w:ascii="Open Sans" w:hAnsi="Open Sans"/>
      <w:b/>
      <w:bCs/>
    </w:rPr>
  </w:style>
  <w:style w:type="paragraph" w:styleId="Revision">
    <w:name w:val="Revision"/>
    <w:hidden/>
    <w:uiPriority w:val="99"/>
    <w:semiHidden/>
    <w:rsid w:val="00F95D86"/>
    <w:rPr>
      <w:rFonts w:ascii="Open Sans" w:hAnsi="Open Sans"/>
      <w:szCs w:val="24"/>
    </w:rPr>
  </w:style>
  <w:style w:type="paragraph" w:customStyle="1" w:styleId="xmsonormal">
    <w:name w:val="x_msonormal"/>
    <w:basedOn w:val="Normal"/>
    <w:rsid w:val="004707A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8989">
      <w:bodyDiv w:val="1"/>
      <w:marLeft w:val="0"/>
      <w:marRight w:val="0"/>
      <w:marTop w:val="0"/>
      <w:marBottom w:val="0"/>
      <w:divBdr>
        <w:top w:val="none" w:sz="0" w:space="0" w:color="auto"/>
        <w:left w:val="none" w:sz="0" w:space="0" w:color="auto"/>
        <w:bottom w:val="none" w:sz="0" w:space="0" w:color="auto"/>
        <w:right w:val="none" w:sz="0" w:space="0" w:color="auto"/>
      </w:divBdr>
    </w:div>
    <w:div w:id="670987128">
      <w:bodyDiv w:val="1"/>
      <w:marLeft w:val="0"/>
      <w:marRight w:val="0"/>
      <w:marTop w:val="0"/>
      <w:marBottom w:val="0"/>
      <w:divBdr>
        <w:top w:val="none" w:sz="0" w:space="0" w:color="auto"/>
        <w:left w:val="none" w:sz="0" w:space="0" w:color="auto"/>
        <w:bottom w:val="none" w:sz="0" w:space="0" w:color="auto"/>
        <w:right w:val="none" w:sz="0" w:space="0" w:color="auto"/>
      </w:divBdr>
    </w:div>
    <w:div w:id="681467637">
      <w:bodyDiv w:val="1"/>
      <w:marLeft w:val="0"/>
      <w:marRight w:val="0"/>
      <w:marTop w:val="0"/>
      <w:marBottom w:val="0"/>
      <w:divBdr>
        <w:top w:val="none" w:sz="0" w:space="0" w:color="auto"/>
        <w:left w:val="none" w:sz="0" w:space="0" w:color="auto"/>
        <w:bottom w:val="none" w:sz="0" w:space="0" w:color="auto"/>
        <w:right w:val="none" w:sz="0" w:space="0" w:color="auto"/>
      </w:divBdr>
      <w:divsChild>
        <w:div w:id="935282874">
          <w:marLeft w:val="0"/>
          <w:marRight w:val="0"/>
          <w:marTop w:val="0"/>
          <w:marBottom w:val="0"/>
          <w:divBdr>
            <w:top w:val="none" w:sz="0" w:space="0" w:color="auto"/>
            <w:left w:val="none" w:sz="0" w:space="0" w:color="auto"/>
            <w:bottom w:val="none" w:sz="0" w:space="0" w:color="auto"/>
            <w:right w:val="none" w:sz="0" w:space="0" w:color="auto"/>
          </w:divBdr>
          <w:divsChild>
            <w:div w:id="1158419048">
              <w:marLeft w:val="0"/>
              <w:marRight w:val="0"/>
              <w:marTop w:val="0"/>
              <w:marBottom w:val="0"/>
              <w:divBdr>
                <w:top w:val="none" w:sz="0" w:space="0" w:color="auto"/>
                <w:left w:val="none" w:sz="0" w:space="0" w:color="auto"/>
                <w:bottom w:val="none" w:sz="0" w:space="0" w:color="auto"/>
                <w:right w:val="none" w:sz="0" w:space="0" w:color="auto"/>
              </w:divBdr>
              <w:divsChild>
                <w:div w:id="1404570446">
                  <w:marLeft w:val="0"/>
                  <w:marRight w:val="0"/>
                  <w:marTop w:val="0"/>
                  <w:marBottom w:val="0"/>
                  <w:divBdr>
                    <w:top w:val="none" w:sz="0" w:space="0" w:color="auto"/>
                    <w:left w:val="none" w:sz="0" w:space="0" w:color="auto"/>
                    <w:bottom w:val="none" w:sz="0" w:space="0" w:color="auto"/>
                    <w:right w:val="none" w:sz="0" w:space="0" w:color="auto"/>
                  </w:divBdr>
                  <w:divsChild>
                    <w:div w:id="699745530">
                      <w:marLeft w:val="0"/>
                      <w:marRight w:val="0"/>
                      <w:marTop w:val="0"/>
                      <w:marBottom w:val="0"/>
                      <w:divBdr>
                        <w:top w:val="none" w:sz="0" w:space="0" w:color="auto"/>
                        <w:left w:val="none" w:sz="0" w:space="0" w:color="auto"/>
                        <w:bottom w:val="none" w:sz="0" w:space="0" w:color="auto"/>
                        <w:right w:val="none" w:sz="0" w:space="0" w:color="auto"/>
                      </w:divBdr>
                      <w:divsChild>
                        <w:div w:id="73749858">
                          <w:marLeft w:val="0"/>
                          <w:marRight w:val="0"/>
                          <w:marTop w:val="0"/>
                          <w:marBottom w:val="0"/>
                          <w:divBdr>
                            <w:top w:val="none" w:sz="0" w:space="0" w:color="auto"/>
                            <w:left w:val="none" w:sz="0" w:space="0" w:color="auto"/>
                            <w:bottom w:val="none" w:sz="0" w:space="0" w:color="auto"/>
                            <w:right w:val="none" w:sz="0" w:space="0" w:color="auto"/>
                          </w:divBdr>
                          <w:divsChild>
                            <w:div w:id="145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6238">
      <w:bodyDiv w:val="1"/>
      <w:marLeft w:val="0"/>
      <w:marRight w:val="0"/>
      <w:marTop w:val="0"/>
      <w:marBottom w:val="0"/>
      <w:divBdr>
        <w:top w:val="none" w:sz="0" w:space="0" w:color="auto"/>
        <w:left w:val="none" w:sz="0" w:space="0" w:color="auto"/>
        <w:bottom w:val="none" w:sz="0" w:space="0" w:color="auto"/>
        <w:right w:val="none" w:sz="0" w:space="0" w:color="auto"/>
      </w:divBdr>
    </w:div>
    <w:div w:id="852575960">
      <w:bodyDiv w:val="1"/>
      <w:marLeft w:val="0"/>
      <w:marRight w:val="0"/>
      <w:marTop w:val="0"/>
      <w:marBottom w:val="0"/>
      <w:divBdr>
        <w:top w:val="none" w:sz="0" w:space="0" w:color="auto"/>
        <w:left w:val="none" w:sz="0" w:space="0" w:color="auto"/>
        <w:bottom w:val="none" w:sz="0" w:space="0" w:color="auto"/>
        <w:right w:val="none" w:sz="0" w:space="0" w:color="auto"/>
      </w:divBdr>
    </w:div>
    <w:div w:id="939874181">
      <w:bodyDiv w:val="1"/>
      <w:marLeft w:val="0"/>
      <w:marRight w:val="0"/>
      <w:marTop w:val="0"/>
      <w:marBottom w:val="0"/>
      <w:divBdr>
        <w:top w:val="none" w:sz="0" w:space="0" w:color="auto"/>
        <w:left w:val="none" w:sz="0" w:space="0" w:color="auto"/>
        <w:bottom w:val="none" w:sz="0" w:space="0" w:color="auto"/>
        <w:right w:val="none" w:sz="0" w:space="0" w:color="auto"/>
      </w:divBdr>
    </w:div>
    <w:div w:id="1316185613">
      <w:bodyDiv w:val="1"/>
      <w:marLeft w:val="0"/>
      <w:marRight w:val="0"/>
      <w:marTop w:val="0"/>
      <w:marBottom w:val="0"/>
      <w:divBdr>
        <w:top w:val="none" w:sz="0" w:space="0" w:color="auto"/>
        <w:left w:val="none" w:sz="0" w:space="0" w:color="auto"/>
        <w:bottom w:val="none" w:sz="0" w:space="0" w:color="auto"/>
        <w:right w:val="none" w:sz="0" w:space="0" w:color="auto"/>
      </w:divBdr>
    </w:div>
    <w:div w:id="1450318899">
      <w:bodyDiv w:val="1"/>
      <w:marLeft w:val="0"/>
      <w:marRight w:val="0"/>
      <w:marTop w:val="0"/>
      <w:marBottom w:val="0"/>
      <w:divBdr>
        <w:top w:val="none" w:sz="0" w:space="0" w:color="auto"/>
        <w:left w:val="none" w:sz="0" w:space="0" w:color="auto"/>
        <w:bottom w:val="none" w:sz="0" w:space="0" w:color="auto"/>
        <w:right w:val="none" w:sz="0" w:space="0" w:color="auto"/>
      </w:divBdr>
      <w:divsChild>
        <w:div w:id="829098077">
          <w:marLeft w:val="0"/>
          <w:marRight w:val="0"/>
          <w:marTop w:val="0"/>
          <w:marBottom w:val="0"/>
          <w:divBdr>
            <w:top w:val="none" w:sz="0" w:space="0" w:color="auto"/>
            <w:left w:val="none" w:sz="0" w:space="0" w:color="auto"/>
            <w:bottom w:val="none" w:sz="0" w:space="0" w:color="auto"/>
            <w:right w:val="none" w:sz="0" w:space="0" w:color="auto"/>
          </w:divBdr>
          <w:divsChild>
            <w:div w:id="1802993147">
              <w:marLeft w:val="-5775"/>
              <w:marRight w:val="-5775"/>
              <w:marTop w:val="0"/>
              <w:marBottom w:val="0"/>
              <w:divBdr>
                <w:top w:val="none" w:sz="0" w:space="0" w:color="auto"/>
                <w:left w:val="none" w:sz="0" w:space="0" w:color="auto"/>
                <w:bottom w:val="none" w:sz="0" w:space="0" w:color="auto"/>
                <w:right w:val="none" w:sz="0" w:space="0" w:color="auto"/>
              </w:divBdr>
              <w:divsChild>
                <w:div w:id="648093601">
                  <w:marLeft w:val="0"/>
                  <w:marRight w:val="0"/>
                  <w:marTop w:val="0"/>
                  <w:marBottom w:val="0"/>
                  <w:divBdr>
                    <w:top w:val="none" w:sz="0" w:space="0" w:color="auto"/>
                    <w:left w:val="none" w:sz="0" w:space="0" w:color="auto"/>
                    <w:bottom w:val="none" w:sz="0" w:space="0" w:color="auto"/>
                    <w:right w:val="none" w:sz="0" w:space="0" w:color="auto"/>
                  </w:divBdr>
                  <w:divsChild>
                    <w:div w:id="727458836">
                      <w:marLeft w:val="0"/>
                      <w:marRight w:val="0"/>
                      <w:marTop w:val="0"/>
                      <w:marBottom w:val="0"/>
                      <w:divBdr>
                        <w:top w:val="none" w:sz="0" w:space="0" w:color="auto"/>
                        <w:left w:val="none" w:sz="0" w:space="0" w:color="auto"/>
                        <w:bottom w:val="none" w:sz="0" w:space="0" w:color="auto"/>
                        <w:right w:val="none" w:sz="0" w:space="0" w:color="auto"/>
                      </w:divBdr>
                      <w:divsChild>
                        <w:div w:id="1547571859">
                          <w:marLeft w:val="0"/>
                          <w:marRight w:val="0"/>
                          <w:marTop w:val="0"/>
                          <w:marBottom w:val="0"/>
                          <w:divBdr>
                            <w:top w:val="none" w:sz="0" w:space="0" w:color="auto"/>
                            <w:left w:val="none" w:sz="0" w:space="0" w:color="auto"/>
                            <w:bottom w:val="none" w:sz="0" w:space="0" w:color="auto"/>
                            <w:right w:val="none" w:sz="0" w:space="0" w:color="auto"/>
                          </w:divBdr>
                          <w:divsChild>
                            <w:div w:id="1621643836">
                              <w:marLeft w:val="0"/>
                              <w:marRight w:val="-2550"/>
                              <w:marTop w:val="0"/>
                              <w:marBottom w:val="0"/>
                              <w:divBdr>
                                <w:top w:val="none" w:sz="0" w:space="0" w:color="auto"/>
                                <w:left w:val="none" w:sz="0" w:space="0" w:color="auto"/>
                                <w:bottom w:val="none" w:sz="0" w:space="0" w:color="auto"/>
                                <w:right w:val="none" w:sz="0" w:space="0" w:color="auto"/>
                              </w:divBdr>
                              <w:divsChild>
                                <w:div w:id="985354869">
                                  <w:marLeft w:val="-2550"/>
                                  <w:marRight w:val="0"/>
                                  <w:marTop w:val="0"/>
                                  <w:marBottom w:val="0"/>
                                  <w:divBdr>
                                    <w:top w:val="none" w:sz="0" w:space="0" w:color="auto"/>
                                    <w:left w:val="none" w:sz="0" w:space="0" w:color="auto"/>
                                    <w:bottom w:val="none" w:sz="0" w:space="0" w:color="auto"/>
                                    <w:right w:val="none" w:sz="0" w:space="0" w:color="auto"/>
                                  </w:divBdr>
                                  <w:divsChild>
                                    <w:div w:id="37998536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Davis</dc:creator>
  <cp:lastModifiedBy>Tony Davis</cp:lastModifiedBy>
  <cp:revision>4</cp:revision>
  <cp:lastPrinted>2015-04-20T14:56:00Z</cp:lastPrinted>
  <dcterms:created xsi:type="dcterms:W3CDTF">2022-04-01T10:34:00Z</dcterms:created>
  <dcterms:modified xsi:type="dcterms:W3CDTF">2022-04-03T15:49:00Z</dcterms:modified>
</cp:coreProperties>
</file>